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51e5d596946e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51476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OGLEDALCE ERNESTINOVO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317.322,85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451.852,34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311.803,59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355.762,11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5.519,26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96.090,23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1741,0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2.216,75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834,98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2.216,75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834,98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3.302,51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95.255,25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2884,3</w:t>
            </w:r>
          </w:p>
        </w:tc>
      </w:tr>
    </w:tbl>
    <w:p>
      <w:pPr>
        <w:spacing w:before="0" w:after="0"/>
      </w:pPr>
    </w:p>
    <w:p>
      <w:r>
        <w:t xml:space="preserve">U izvještajnom razdoblju 01.01. do 30.09.2026. godine ostvareno je ukupno 451.852,34 eura prihoda poslovanja od čega se najveći iznos od 284.422,36 eura odnosi na prihode iz nadležnog proračuna.</w:t>
      </w:r>
    </w:p>
    <w:p>
      <w:r>
        <w:t xml:space="preserve">Ukupni rashodi poslovanja ostvareni su u iznosu 355.762,11 eura od čega je najveći iznos za rashode za zaposlene.</w:t>
      </w:r>
    </w:p>
    <w:p>
      <w:r>
        <w:t xml:space="preserve">Rashodi za nabavu nefinancijske imovine iznosili su 834,98 eura i odnose se na glazbene instrumente i ostalu opremu za rad.</w:t>
      </w:r>
    </w:p>
    <w:p>
      <w:r>
        <w:t xml:space="preserve">Višak prihoda u izvještajnom razdoblju iznosi 95.255,25 eura što s prenesenim manjkom od 13.863,57 eura daje višak prihoda raspoloživ u sljedećem razdoblju u iznosu od 81.391,68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112.783,00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85.678,94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76,0</w:t>
            </w:r>
          </w:p>
        </w:tc>
      </w:tr>
    </w:tbl>
    <w:p>
      <w:pPr>
        <w:spacing w:before="0" w:after="0"/>
      </w:pPr>
    </w:p>
    <w:p>
      <w:r>
        <w:t xml:space="preserve">Pomoći od subjekata unutar općeg proračuna u najvećoj mjeri čine prihodi od susjednih općina za djecu koja polaze vrtić s njihovog područja u iznosu 59.400,00 eura.</w:t>
      </w:r>
    </w:p>
    <w:p>
      <w:r>
        <w:t xml:space="preserve">U okviru skupine 63 primljena je pomoć iz državnog proračuna za projekt Aktivni u vrtiću, Daroviti, za predškolu i projekt Integracija u ukupnom iznosu 26.278,94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63.499,00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81.751,02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128,7</w:t>
            </w:r>
          </w:p>
        </w:tc>
      </w:tr>
    </w:tbl>
    <w:p>
      <w:pPr>
        <w:spacing w:before="0" w:after="0"/>
      </w:pPr>
    </w:p>
    <w:p>
      <w:r>
        <w:t xml:space="preserve">Prihod u iznosu od 81.751,02 eura odnosi se na prihode od sufinanciranja usluge cijene vrtića od strane roditelja.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259.868,79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266.164,79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102,4</w:t>
            </w:r>
          </w:p>
        </w:tc>
      </w:tr>
    </w:tbl>
    <w:p>
      <w:pPr>
        <w:spacing w:before="0" w:after="0"/>
      </w:pPr>
    </w:p>
    <w:p>
      <w:r>
        <w:t xml:space="preserve">Rashodi za zaposlene u okvirima su rashoda u istom izvještajnom razdoblju prethodne godine i isti čine većinu rashoda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19.192,50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23.760,04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123,8</w:t>
            </w:r>
          </w:p>
        </w:tc>
      </w:tr>
    </w:tbl>
    <w:p>
      <w:pPr>
        <w:spacing w:before="0" w:after="0"/>
      </w:pPr>
    </w:p>
    <w:p>
      <w:r>
        <w:t xml:space="preserve">Ostali rashodi za zaposlene čine bonus za uspješan rad u ukupnom iznosu 4.500,00 eura, prigodni darovi u ukupnom iznosu 1.985,50 eura, regres u iznosu 4.375,00 eura i ostali nenavedeni rashodi za zaposlene za topli obrok i prijevoz u ukupnom iznosu od 12.899,54 eura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5.120,03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12.519,00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244,5</w:t>
            </w:r>
          </w:p>
        </w:tc>
      </w:tr>
    </w:tbl>
    <w:p>
      <w:pPr>
        <w:spacing w:before="0" w:after="0"/>
      </w:pPr>
    </w:p>
    <w:p>
      <w:r>
        <w:t xml:space="preserve">Rashode za uredski materijal i ostale materijalne rashode čine materijal za potrebe redovnog poslovanja. materijal i sredstva za čišćenje te literatura (slikovnice, edukativni materijal i radne bilježnice za program engleskog jezika).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Usluge promidžbe i informiranja odnose se na provođenje projekta.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3.242,92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15.060,00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464,4</w:t>
            </w:r>
          </w:p>
        </w:tc>
      </w:tr>
    </w:tbl>
    <w:p>
      <w:pPr>
        <w:spacing w:before="0" w:after="0"/>
      </w:pPr>
    </w:p>
    <w:p>
      <w:r>
        <w:t xml:space="preserve">Intelektualne usluge odnose se na autorske honorare, ugovore o djelu i račune za intelektualne usluge za provođenje matematičkog programa Kiša brojeva.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2.216,75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834,98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37,7</w:t>
            </w:r>
          </w:p>
        </w:tc>
      </w:tr>
    </w:tbl>
    <w:p>
      <w:pPr>
        <w:spacing w:before="0" w:after="0"/>
      </w:pPr>
    </w:p>
    <w:p>
      <w:r>
        <w:t xml:space="preserve">Rashodi za nabavu nefinancijske imovine odnose se na glazbene instrumente i ostalu opremu za redovan rad vrtića.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novčanih sredstava na kraju izvještajnog razdoblja (šifre 11P + '11-dugov.' - '11-potraž.')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11K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43.441,63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Dječji vrtić je s početkom 2026. godine zatvorio transakcijski račun i posluje preko jedinstvenog računa proračuna Općine.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519f348d06e4bb1" /></Relationships>
</file>