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9578F" w14:textId="77777777" w:rsidR="00C75438" w:rsidRDefault="00000000">
      <w:pPr>
        <w:jc w:val="center"/>
        <w:rPr>
          <w:sz w:val="28"/>
          <w:szCs w:val="28"/>
        </w:rPr>
      </w:pPr>
      <w:r>
        <w:rPr>
          <w:b/>
          <w:bCs/>
          <w:sz w:val="28"/>
          <w:szCs w:val="28"/>
        </w:rPr>
        <w:t xml:space="preserve"> </w:t>
      </w:r>
      <w:r>
        <w:rPr>
          <w:b/>
          <w:bCs/>
          <w:sz w:val="30"/>
          <w:szCs w:val="30"/>
        </w:rPr>
        <w:t xml:space="preserve"> 3.OBRAZLOŽENJE POLUGODIŠNJEG IZVJEŠTAJA O IZVRŠENJU FINANCIJSKOG PLANA ZA 2025.GODINU</w:t>
      </w:r>
    </w:p>
    <w:p w14:paraId="6EA0F97D" w14:textId="77777777" w:rsidR="00C75438" w:rsidRDefault="00C75438">
      <w:pPr>
        <w:jc w:val="both"/>
      </w:pPr>
    </w:p>
    <w:p w14:paraId="30902A05" w14:textId="77777777" w:rsidR="00C75438" w:rsidRDefault="00000000">
      <w:pPr>
        <w:jc w:val="both"/>
        <w:rPr>
          <w:sz w:val="24"/>
          <w:szCs w:val="24"/>
        </w:rPr>
      </w:pPr>
      <w:r>
        <w:rPr>
          <w:b/>
          <w:bCs/>
          <w:sz w:val="24"/>
          <w:szCs w:val="24"/>
        </w:rPr>
        <w:t>3.1. OBRAZLOŽENJE  OPĆEG DIJELA IZVJEŠTAJA O IZVRŠENJU  FINANCIJSKOG PLANA</w:t>
      </w:r>
    </w:p>
    <w:p w14:paraId="25A8D42A" w14:textId="77777777" w:rsidR="00C75438" w:rsidRDefault="00000000">
      <w:pPr>
        <w:jc w:val="both"/>
        <w:rPr>
          <w:i/>
          <w:iCs/>
        </w:rPr>
      </w:pPr>
      <w:r>
        <w:rPr>
          <w:b/>
          <w:bCs/>
          <w:i/>
          <w:iCs/>
        </w:rPr>
        <w:t>3.1.1. OBRAZLOŽENJE OSTVARENJA PRIHODA I RASHODA , PRIMITAKA I IZDATAKA</w:t>
      </w:r>
    </w:p>
    <w:p w14:paraId="58E01AA2" w14:textId="77777777" w:rsidR="00C75438" w:rsidRDefault="00000000">
      <w:pPr>
        <w:jc w:val="both"/>
        <w:rPr>
          <w:b/>
          <w:bCs/>
        </w:rPr>
      </w:pPr>
      <w:r>
        <w:rPr>
          <w:b/>
          <w:bCs/>
        </w:rPr>
        <w:t>Prihodi i primici</w:t>
      </w:r>
    </w:p>
    <w:p w14:paraId="286AAEB7" w14:textId="77777777" w:rsidR="00C75438" w:rsidRDefault="00000000">
      <w:pPr>
        <w:pStyle w:val="Bezproreda"/>
        <w:jc w:val="both"/>
        <w:rPr>
          <w:bCs/>
          <w:sz w:val="24"/>
          <w:szCs w:val="24"/>
        </w:rPr>
      </w:pPr>
      <w:r>
        <w:rPr>
          <w:bCs/>
          <w:sz w:val="24"/>
          <w:szCs w:val="24"/>
        </w:rPr>
        <w:t>U ovom izvještajnom razdoblju ostvareni su prihodi  u iznosu od 230.304,26 € kako slijedi</w:t>
      </w:r>
    </w:p>
    <w:p w14:paraId="1FBD719B" w14:textId="77777777" w:rsidR="00C75438" w:rsidRDefault="00C75438">
      <w:pPr>
        <w:pStyle w:val="Bezproreda"/>
        <w:jc w:val="both"/>
        <w:rPr>
          <w:bCs/>
          <w:sz w:val="24"/>
          <w:szCs w:val="24"/>
        </w:rPr>
      </w:pPr>
    </w:p>
    <w:p w14:paraId="41BC19F4" w14:textId="77777777" w:rsidR="00C75438" w:rsidRDefault="00000000">
      <w:pPr>
        <w:pStyle w:val="Bezproreda"/>
        <w:jc w:val="both"/>
        <w:rPr>
          <w:bCs/>
          <w:sz w:val="24"/>
          <w:szCs w:val="24"/>
        </w:rPr>
      </w:pPr>
      <w:r>
        <w:rPr>
          <w:bCs/>
          <w:sz w:val="24"/>
          <w:szCs w:val="24"/>
        </w:rPr>
        <w:t>-prihodi iz proračuna Općine</w:t>
      </w:r>
      <w:r>
        <w:rPr>
          <w:bCs/>
          <w:sz w:val="24"/>
          <w:szCs w:val="24"/>
        </w:rPr>
        <w:tab/>
      </w:r>
      <w:r>
        <w:rPr>
          <w:bCs/>
          <w:sz w:val="24"/>
          <w:szCs w:val="24"/>
        </w:rPr>
        <w:tab/>
      </w:r>
      <w:r>
        <w:rPr>
          <w:bCs/>
          <w:sz w:val="24"/>
          <w:szCs w:val="24"/>
        </w:rPr>
        <w:tab/>
        <w:t xml:space="preserve">   103.858,47 €</w:t>
      </w:r>
    </w:p>
    <w:p w14:paraId="683C8CE4" w14:textId="77777777" w:rsidR="00C75438" w:rsidRDefault="00000000">
      <w:pPr>
        <w:pStyle w:val="Bezproreda"/>
        <w:jc w:val="both"/>
        <w:rPr>
          <w:bCs/>
          <w:sz w:val="24"/>
          <w:szCs w:val="24"/>
        </w:rPr>
      </w:pPr>
      <w:r>
        <w:rPr>
          <w:bCs/>
          <w:sz w:val="24"/>
          <w:szCs w:val="24"/>
        </w:rPr>
        <w:t xml:space="preserve">-prihodi od sufinanciranja cijena usluga   </w:t>
      </w:r>
      <w:r>
        <w:rPr>
          <w:bCs/>
          <w:sz w:val="24"/>
          <w:szCs w:val="24"/>
        </w:rPr>
        <w:tab/>
        <w:t xml:space="preserve">    125.420,00 €</w:t>
      </w:r>
    </w:p>
    <w:p w14:paraId="75F5EC34" w14:textId="77777777" w:rsidR="00C75438" w:rsidRDefault="00000000">
      <w:pPr>
        <w:pStyle w:val="Bezproreda"/>
        <w:jc w:val="both"/>
        <w:rPr>
          <w:bCs/>
          <w:sz w:val="24"/>
          <w:szCs w:val="24"/>
        </w:rPr>
      </w:pPr>
      <w:r>
        <w:rPr>
          <w:bCs/>
          <w:sz w:val="24"/>
          <w:szCs w:val="24"/>
        </w:rPr>
        <w:t xml:space="preserve">-tekuće pomoći  iz proračuna </w:t>
      </w:r>
      <w:r>
        <w:rPr>
          <w:bCs/>
          <w:sz w:val="24"/>
          <w:szCs w:val="24"/>
        </w:rPr>
        <w:tab/>
      </w:r>
      <w:r>
        <w:rPr>
          <w:bCs/>
          <w:sz w:val="24"/>
          <w:szCs w:val="24"/>
        </w:rPr>
        <w:tab/>
      </w:r>
      <w:r>
        <w:rPr>
          <w:bCs/>
          <w:sz w:val="24"/>
          <w:szCs w:val="24"/>
        </w:rPr>
        <w:tab/>
        <w:t xml:space="preserve">    </w:t>
      </w:r>
    </w:p>
    <w:p w14:paraId="47B0E54C" w14:textId="6B9D797D" w:rsidR="00C75438" w:rsidRDefault="00000000">
      <w:pPr>
        <w:pStyle w:val="Bezproreda"/>
        <w:jc w:val="both"/>
        <w:rPr>
          <w:bCs/>
          <w:sz w:val="24"/>
          <w:szCs w:val="24"/>
        </w:rPr>
      </w:pPr>
      <w:r>
        <w:rPr>
          <w:bCs/>
          <w:sz w:val="24"/>
          <w:szCs w:val="24"/>
        </w:rPr>
        <w:t xml:space="preserve"> koji im nije nadležan</w:t>
      </w:r>
      <w:r>
        <w:rPr>
          <w:bCs/>
          <w:sz w:val="24"/>
          <w:szCs w:val="24"/>
        </w:rPr>
        <w:tab/>
      </w:r>
      <w:r>
        <w:rPr>
          <w:bCs/>
          <w:sz w:val="24"/>
          <w:szCs w:val="24"/>
        </w:rPr>
        <w:tab/>
      </w:r>
      <w:r>
        <w:rPr>
          <w:bCs/>
          <w:sz w:val="24"/>
          <w:szCs w:val="24"/>
        </w:rPr>
        <w:tab/>
      </w:r>
      <w:r>
        <w:rPr>
          <w:bCs/>
          <w:sz w:val="24"/>
          <w:szCs w:val="24"/>
        </w:rPr>
        <w:tab/>
        <w:t xml:space="preserve">       1.025,00 €</w:t>
      </w:r>
    </w:p>
    <w:p w14:paraId="6859763D" w14:textId="77777777" w:rsidR="00C75438" w:rsidRDefault="00000000">
      <w:pPr>
        <w:pStyle w:val="Bezproreda"/>
        <w:jc w:val="both"/>
        <w:rPr>
          <w:bCs/>
          <w:sz w:val="24"/>
          <w:szCs w:val="24"/>
        </w:rPr>
      </w:pPr>
      <w:r>
        <w:rPr>
          <w:bCs/>
          <w:sz w:val="24"/>
          <w:szCs w:val="24"/>
        </w:rPr>
        <w:t>- prihodi od kamata</w:t>
      </w:r>
      <w:r>
        <w:rPr>
          <w:bCs/>
          <w:sz w:val="24"/>
          <w:szCs w:val="24"/>
        </w:rPr>
        <w:tab/>
      </w:r>
      <w:r>
        <w:rPr>
          <w:bCs/>
          <w:sz w:val="24"/>
          <w:szCs w:val="24"/>
        </w:rPr>
        <w:tab/>
      </w:r>
      <w:r>
        <w:rPr>
          <w:bCs/>
          <w:sz w:val="24"/>
          <w:szCs w:val="24"/>
        </w:rPr>
        <w:tab/>
      </w:r>
      <w:r>
        <w:rPr>
          <w:bCs/>
          <w:sz w:val="24"/>
          <w:szCs w:val="24"/>
        </w:rPr>
        <w:tab/>
        <w:t xml:space="preserve">              0,79 €</w:t>
      </w:r>
    </w:p>
    <w:p w14:paraId="01FFD0F0" w14:textId="312482DA" w:rsidR="00C75438" w:rsidRPr="000F3BFC" w:rsidRDefault="00C75438" w:rsidP="000F3BFC">
      <w:pPr>
        <w:pStyle w:val="Bezproreda"/>
        <w:jc w:val="both"/>
        <w:rPr>
          <w:bCs/>
          <w:sz w:val="24"/>
          <w:szCs w:val="24"/>
        </w:rPr>
      </w:pPr>
    </w:p>
    <w:p w14:paraId="4DFF3DF6" w14:textId="77777777" w:rsidR="00C75438" w:rsidRDefault="00000000">
      <w:pPr>
        <w:pStyle w:val="Bezproreda"/>
      </w:pPr>
      <w:r>
        <w:t xml:space="preserve">Prihod iz Proračuna Općine Ernestinovo koristio se za  isplatu plaća  djelatnicima.  </w:t>
      </w:r>
    </w:p>
    <w:p w14:paraId="53F8D7BE" w14:textId="77777777" w:rsidR="00C75438" w:rsidRDefault="00000000">
      <w:pPr>
        <w:pStyle w:val="Bezproreda"/>
      </w:pPr>
      <w:r>
        <w:t xml:space="preserve"> Povećali su se prihodi od sufinanciranja roditelja, budući da se upis djece konstantno povećava, te zbog povećanja ekonomske cijene od 01.01.25.</w:t>
      </w:r>
    </w:p>
    <w:p w14:paraId="0C79688C" w14:textId="77777777" w:rsidR="00C75438" w:rsidRDefault="00C75438">
      <w:pPr>
        <w:pStyle w:val="Bezproreda"/>
      </w:pPr>
    </w:p>
    <w:p w14:paraId="28AC7224" w14:textId="77777777" w:rsidR="00C75438" w:rsidRDefault="00000000">
      <w:pPr>
        <w:pStyle w:val="Bezproreda"/>
        <w:jc w:val="both"/>
        <w:rPr>
          <w:bCs/>
          <w:sz w:val="24"/>
          <w:szCs w:val="24"/>
        </w:rPr>
      </w:pPr>
      <w:r>
        <w:rPr>
          <w:bCs/>
          <w:sz w:val="24"/>
          <w:szCs w:val="24"/>
        </w:rPr>
        <w:t>Tekuće pomoći iz proračuna  koji im nije nadležan  odnose se na prihode iz Općina čija djeca pohađaju Vrtić, a za financiranje prijevoza djece na izlete (225,00 €) i 800,00 €  pomoć iz Ministarstva znanosti i obrazovanja za sufinanciranje programa odgoja i obrazovanja darovite djece.</w:t>
      </w:r>
    </w:p>
    <w:p w14:paraId="7AA39A27" w14:textId="77777777" w:rsidR="00C75438" w:rsidRDefault="00C75438">
      <w:pPr>
        <w:pStyle w:val="Bezproreda"/>
      </w:pPr>
    </w:p>
    <w:p w14:paraId="715DCA84" w14:textId="77777777" w:rsidR="00C75438" w:rsidRDefault="00000000">
      <w:pPr>
        <w:pStyle w:val="Bezproreda"/>
        <w:rPr>
          <w:b/>
          <w:bCs/>
        </w:rPr>
      </w:pPr>
      <w:r>
        <w:rPr>
          <w:b/>
          <w:bCs/>
        </w:rPr>
        <w:t>Rashodi i izdaci</w:t>
      </w:r>
    </w:p>
    <w:p w14:paraId="362F3000" w14:textId="77777777" w:rsidR="00C75438" w:rsidRDefault="00C75438">
      <w:pPr>
        <w:pStyle w:val="Bezproreda"/>
        <w:rPr>
          <w:b/>
          <w:bCs/>
        </w:rPr>
      </w:pPr>
    </w:p>
    <w:p w14:paraId="4B514831" w14:textId="77777777" w:rsidR="00C75438" w:rsidRDefault="00000000">
      <w:pPr>
        <w:pStyle w:val="Bezproreda"/>
        <w:jc w:val="both"/>
        <w:rPr>
          <w:bCs/>
          <w:sz w:val="24"/>
          <w:szCs w:val="24"/>
        </w:rPr>
      </w:pPr>
      <w:r>
        <w:rPr>
          <w:bCs/>
          <w:sz w:val="24"/>
          <w:szCs w:val="24"/>
        </w:rPr>
        <w:t xml:space="preserve">Rashodi su ostvareni u iznosu od 214.842,92 €  što je znatno više u odnosu na prethodnu godinu. </w:t>
      </w:r>
    </w:p>
    <w:p w14:paraId="084B51A0" w14:textId="77777777" w:rsidR="00C75438" w:rsidRDefault="00C75438">
      <w:pPr>
        <w:pStyle w:val="Bezproreda"/>
        <w:jc w:val="both"/>
        <w:rPr>
          <w:bCs/>
          <w:sz w:val="24"/>
          <w:szCs w:val="24"/>
        </w:rPr>
      </w:pPr>
    </w:p>
    <w:p w14:paraId="582F752E" w14:textId="59CD311C" w:rsidR="00C75438" w:rsidRDefault="00000000">
      <w:pPr>
        <w:pStyle w:val="Bezproreda"/>
        <w:jc w:val="both"/>
        <w:rPr>
          <w:bCs/>
          <w:sz w:val="24"/>
          <w:szCs w:val="24"/>
        </w:rPr>
      </w:pPr>
      <w:r>
        <w:rPr>
          <w:bCs/>
          <w:sz w:val="24"/>
          <w:szCs w:val="24"/>
        </w:rPr>
        <w:t>Budući da je porastao broj djece koji pohađaju vrtić bilo je potrebno zaposliti odgojiteljice kako bi se mogli provoditi programi, te usklađenje plaća utjecalo je na povećanje rashoda. Porastom upisane djece u vrtić također rastu  i ostali rashodi.</w:t>
      </w:r>
    </w:p>
    <w:p w14:paraId="2FAF4AB7" w14:textId="77777777" w:rsidR="00C75438" w:rsidRDefault="00C75438">
      <w:pPr>
        <w:pStyle w:val="Bezproreda"/>
        <w:jc w:val="both"/>
        <w:rPr>
          <w:b/>
          <w:bCs/>
        </w:rPr>
      </w:pPr>
    </w:p>
    <w:p w14:paraId="72D2229F" w14:textId="77777777" w:rsidR="00C75438" w:rsidRDefault="00000000">
      <w:pPr>
        <w:jc w:val="both"/>
        <w:rPr>
          <w:i/>
          <w:iCs/>
        </w:rPr>
      </w:pPr>
      <w:r>
        <w:rPr>
          <w:b/>
          <w:bCs/>
          <w:i/>
          <w:iCs/>
        </w:rPr>
        <w:t>3.1. 2. OBRAZLOŽENJE VIŠKA/MANJKA PRIHODA</w:t>
      </w:r>
    </w:p>
    <w:p w14:paraId="16E14FB8" w14:textId="77777777" w:rsidR="00C75438" w:rsidRDefault="00000000">
      <w:pPr>
        <w:jc w:val="both"/>
      </w:pPr>
      <w:r>
        <w:t>U</w:t>
      </w:r>
      <w:r>
        <w:rPr>
          <w:b/>
          <w:bCs/>
        </w:rPr>
        <w:t xml:space="preserve"> </w:t>
      </w:r>
      <w:r>
        <w:t>razdoblju 01.01.-30.06.2025. DV Ernestinovo ostvario je višak prihoda poslovanja u iznosu od  17.678,09 € i manjak prihoda od nefinancijske imovine 2.216.75 € odnosno višak prihoda  u iznosu od 15.461,34 € što  sa prenesenim viškom prihoda iz prethodne godine  u iznosu od 7.094,53  €, čini ukupni  višak prihoda   22.555,87 € koji će se rasporediti u sljedećem  obračunskom razdoblju .</w:t>
      </w:r>
    </w:p>
    <w:p w14:paraId="5CBC0589" w14:textId="77777777" w:rsidR="00C75438" w:rsidRDefault="00000000">
      <w:pPr>
        <w:jc w:val="both"/>
      </w:pPr>
      <w:r>
        <w:t xml:space="preserve">Strukturu viška prihoda u ovom obračunskom razdoblju čine </w:t>
      </w:r>
    </w:p>
    <w:p w14:paraId="342D3263" w14:textId="77777777" w:rsidR="00C75438" w:rsidRDefault="00000000">
      <w:pPr>
        <w:pStyle w:val="Bezproreda"/>
      </w:pPr>
      <w:r>
        <w:t>-prihodi od sufinanciranja cijena usluga</w:t>
      </w:r>
      <w:r>
        <w:tab/>
      </w:r>
      <w:r>
        <w:tab/>
      </w:r>
      <w:r>
        <w:tab/>
        <w:t xml:space="preserve">              15.460,55 €</w:t>
      </w:r>
    </w:p>
    <w:p w14:paraId="44F2BCBB" w14:textId="77777777" w:rsidR="00C75438" w:rsidRDefault="00000000">
      <w:pPr>
        <w:pStyle w:val="Bezproreda"/>
      </w:pPr>
      <w:r>
        <w:t>-prihodi od kamata</w:t>
      </w:r>
      <w:r>
        <w:tab/>
      </w:r>
      <w:r>
        <w:tab/>
      </w:r>
      <w:r>
        <w:tab/>
      </w:r>
      <w:r>
        <w:tab/>
      </w:r>
      <w:r>
        <w:tab/>
      </w:r>
      <w:r>
        <w:tab/>
        <w:t xml:space="preserve">          0,79 €</w:t>
      </w:r>
    </w:p>
    <w:p w14:paraId="2F3F37B0" w14:textId="77777777" w:rsidR="00C75438" w:rsidRDefault="00C75438">
      <w:pPr>
        <w:pStyle w:val="Bezproreda"/>
      </w:pPr>
    </w:p>
    <w:p w14:paraId="7D19095F" w14:textId="77777777" w:rsidR="000F3BFC" w:rsidRDefault="00000000" w:rsidP="000F3BFC">
      <w:pPr>
        <w:pStyle w:val="Bezproreda"/>
      </w:pPr>
      <w:r>
        <w:t>Višak prihoda koji se prenosi u sljedeće obračunsko razdoblje koristit će se za namjenske izdatke iz viška prihoda prethodne godine  te za ostale rashode poslovanja .</w:t>
      </w:r>
    </w:p>
    <w:p w14:paraId="2597F5A5" w14:textId="77777777" w:rsidR="000F3BFC" w:rsidRDefault="000F3BFC" w:rsidP="000F3BFC">
      <w:pPr>
        <w:pStyle w:val="Bezproreda"/>
        <w:rPr>
          <w:b/>
          <w:bCs/>
          <w:sz w:val="30"/>
          <w:szCs w:val="30"/>
        </w:rPr>
      </w:pPr>
    </w:p>
    <w:p w14:paraId="0AB9AF7F" w14:textId="77777777" w:rsidR="000F3BFC" w:rsidRDefault="000F3BFC" w:rsidP="000F3BFC">
      <w:pPr>
        <w:pStyle w:val="Bezproreda"/>
        <w:rPr>
          <w:b/>
          <w:bCs/>
          <w:sz w:val="30"/>
          <w:szCs w:val="30"/>
        </w:rPr>
      </w:pPr>
    </w:p>
    <w:p w14:paraId="3E2891AF" w14:textId="77777777" w:rsidR="000F3BFC" w:rsidRDefault="000F3BFC" w:rsidP="000F3BFC">
      <w:pPr>
        <w:pStyle w:val="Bezproreda"/>
        <w:rPr>
          <w:b/>
          <w:bCs/>
          <w:sz w:val="30"/>
          <w:szCs w:val="30"/>
        </w:rPr>
      </w:pPr>
    </w:p>
    <w:p w14:paraId="31EB3801" w14:textId="77777777" w:rsidR="000F3BFC" w:rsidRDefault="000F3BFC" w:rsidP="000F3BFC">
      <w:pPr>
        <w:pStyle w:val="Bezproreda"/>
        <w:rPr>
          <w:b/>
          <w:bCs/>
          <w:sz w:val="30"/>
          <w:szCs w:val="30"/>
        </w:rPr>
      </w:pPr>
    </w:p>
    <w:p w14:paraId="7D5C0580" w14:textId="77777777" w:rsidR="000F3BFC" w:rsidRDefault="000F3BFC" w:rsidP="000F3BFC">
      <w:pPr>
        <w:pStyle w:val="Bezproreda"/>
        <w:rPr>
          <w:b/>
          <w:bCs/>
          <w:sz w:val="30"/>
          <w:szCs w:val="30"/>
        </w:rPr>
      </w:pPr>
    </w:p>
    <w:p w14:paraId="54F68A34" w14:textId="77777777" w:rsidR="000F3BFC" w:rsidRDefault="000F3BFC" w:rsidP="000F3BFC">
      <w:pPr>
        <w:pStyle w:val="Bezproreda"/>
        <w:rPr>
          <w:b/>
          <w:bCs/>
          <w:sz w:val="30"/>
          <w:szCs w:val="30"/>
        </w:rPr>
      </w:pPr>
    </w:p>
    <w:p w14:paraId="3194642F" w14:textId="77777777" w:rsidR="000F3BFC" w:rsidRDefault="000F3BFC" w:rsidP="000F3BFC">
      <w:pPr>
        <w:pStyle w:val="Bezproreda"/>
        <w:rPr>
          <w:b/>
          <w:bCs/>
          <w:sz w:val="30"/>
          <w:szCs w:val="30"/>
        </w:rPr>
      </w:pPr>
    </w:p>
    <w:p w14:paraId="7B7BA77B" w14:textId="77777777" w:rsidR="000F3BFC" w:rsidRDefault="000F3BFC" w:rsidP="000F3BFC">
      <w:pPr>
        <w:pStyle w:val="Bezproreda"/>
        <w:rPr>
          <w:b/>
          <w:bCs/>
          <w:sz w:val="30"/>
          <w:szCs w:val="30"/>
        </w:rPr>
      </w:pPr>
    </w:p>
    <w:p w14:paraId="7524243E" w14:textId="77777777" w:rsidR="000F3BFC" w:rsidRDefault="000F3BFC" w:rsidP="000F3BFC">
      <w:pPr>
        <w:pStyle w:val="Bezproreda"/>
        <w:rPr>
          <w:b/>
          <w:bCs/>
          <w:sz w:val="30"/>
          <w:szCs w:val="30"/>
        </w:rPr>
      </w:pPr>
    </w:p>
    <w:p w14:paraId="453D15CD" w14:textId="51D50B6D" w:rsidR="00C75438" w:rsidRPr="000F3BFC" w:rsidRDefault="00000000" w:rsidP="000F3BFC">
      <w:pPr>
        <w:pStyle w:val="Bezproreda"/>
      </w:pPr>
      <w:r>
        <w:rPr>
          <w:b/>
          <w:bCs/>
          <w:sz w:val="30"/>
          <w:szCs w:val="30"/>
        </w:rPr>
        <w:t>4. POSEBNI  IZVJEŠTAJI U POLUGODIŠNJEM IZVJEŠTAJU O IZVRŠENJU FINANCIJSKOG PLANA</w:t>
      </w:r>
    </w:p>
    <w:p w14:paraId="537A4418" w14:textId="77777777" w:rsidR="00C75438" w:rsidRDefault="00C75438">
      <w:pPr>
        <w:jc w:val="center"/>
        <w:rPr>
          <w:b/>
          <w:bCs/>
          <w:sz w:val="30"/>
          <w:szCs w:val="30"/>
        </w:rPr>
      </w:pPr>
    </w:p>
    <w:p w14:paraId="149338C5" w14:textId="77777777" w:rsidR="00C75438" w:rsidRDefault="00000000">
      <w:pPr>
        <w:jc w:val="both"/>
        <w:rPr>
          <w:b/>
          <w:bCs/>
          <w:sz w:val="24"/>
          <w:szCs w:val="24"/>
        </w:rPr>
      </w:pPr>
      <w:r>
        <w:rPr>
          <w:b/>
          <w:bCs/>
          <w:sz w:val="24"/>
          <w:szCs w:val="24"/>
        </w:rPr>
        <w:t>4.1. IZVJEŠTAJ O ZADUŽIVANJU NA DOMAĆEM I STRANOM TRŽIŠTU NOVCA I KAPITALA</w:t>
      </w:r>
    </w:p>
    <w:p w14:paraId="6EF58E31" w14:textId="77777777" w:rsidR="00C75438" w:rsidRDefault="00000000">
      <w:pPr>
        <w:jc w:val="both"/>
        <w:rPr>
          <w:sz w:val="24"/>
          <w:szCs w:val="24"/>
        </w:rPr>
      </w:pPr>
      <w:r>
        <w:rPr>
          <w:sz w:val="24"/>
          <w:szCs w:val="24"/>
        </w:rPr>
        <w:t>U razdoblju 01.01.-30.06.2025.Dječji vrtić Ogledalce nije se zaduživao</w:t>
      </w:r>
    </w:p>
    <w:p w14:paraId="5D5CE995" w14:textId="77777777" w:rsidR="00C75438" w:rsidRDefault="00C75438">
      <w:pPr>
        <w:jc w:val="both"/>
        <w:rPr>
          <w:sz w:val="24"/>
          <w:szCs w:val="24"/>
        </w:rPr>
      </w:pPr>
    </w:p>
    <w:p w14:paraId="5079D5AA" w14:textId="77777777" w:rsidR="00C75438" w:rsidRDefault="00C75438">
      <w:pPr>
        <w:jc w:val="both"/>
        <w:rPr>
          <w:b/>
          <w:bCs/>
          <w:sz w:val="24"/>
          <w:szCs w:val="24"/>
        </w:rPr>
      </w:pPr>
    </w:p>
    <w:p w14:paraId="6D06C11C" w14:textId="77777777" w:rsidR="00C75438" w:rsidRDefault="00C75438">
      <w:pPr>
        <w:jc w:val="both"/>
        <w:rPr>
          <w:b/>
          <w:bCs/>
          <w:sz w:val="24"/>
          <w:szCs w:val="24"/>
        </w:rPr>
      </w:pPr>
    </w:p>
    <w:sectPr w:rsidR="00C75438">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38"/>
    <w:rsid w:val="000F3BFC"/>
    <w:rsid w:val="00544811"/>
    <w:rsid w:val="00C75438"/>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371F"/>
  <w15:docId w15:val="{25460882-7F63-452F-BA6A-94C84685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Unicode MS"/>
      <w:sz w:val="28"/>
      <w:szCs w:val="28"/>
    </w:rPr>
  </w:style>
  <w:style w:type="paragraph" w:styleId="Tijeloteksta">
    <w:name w:val="Body Text"/>
    <w:basedOn w:val="Normal"/>
    <w:pPr>
      <w:spacing w:after="140" w:line="276" w:lineRule="auto"/>
    </w:pPr>
  </w:style>
  <w:style w:type="paragraph" w:styleId="Popis">
    <w:name w:val="List"/>
    <w:basedOn w:val="Tijeloteksta"/>
    <w:rPr>
      <w:rFonts w:cs="Arial Unicode MS"/>
    </w:rPr>
  </w:style>
  <w:style w:type="paragraph" w:styleId="Opisslike">
    <w:name w:val="caption"/>
    <w:basedOn w:val="Normal"/>
    <w:qFormat/>
    <w:pPr>
      <w:suppressLineNumbers/>
      <w:spacing w:before="120" w:after="120"/>
    </w:pPr>
    <w:rPr>
      <w:rFonts w:cs="Arial Unicode MS"/>
      <w:i/>
      <w:iCs/>
      <w:sz w:val="24"/>
      <w:szCs w:val="24"/>
    </w:rPr>
  </w:style>
  <w:style w:type="paragraph" w:customStyle="1" w:styleId="Indeks">
    <w:name w:val="Indeks"/>
    <w:basedOn w:val="Normal"/>
    <w:qFormat/>
    <w:pPr>
      <w:suppressLineNumbers/>
    </w:pPr>
    <w:rPr>
      <w:rFonts w:cs="Arial Unicode MS"/>
    </w:rPr>
  </w:style>
  <w:style w:type="paragraph" w:styleId="Bezproreda">
    <w:name w:val="No Spacing"/>
    <w:uiPriority w:val="1"/>
    <w:qFormat/>
    <w:rsid w:val="000A7EB1"/>
  </w:style>
  <w:style w:type="paragraph" w:styleId="Odlomakpopisa">
    <w:name w:val="List Paragraph"/>
    <w:basedOn w:val="Normal"/>
    <w:uiPriority w:val="34"/>
    <w:qFormat/>
    <w:rsid w:val="00772002"/>
    <w:pPr>
      <w:ind w:left="720"/>
      <w:contextualSpacing/>
    </w:pPr>
  </w:style>
  <w:style w:type="table" w:styleId="Reetkatablice">
    <w:name w:val="Table Grid"/>
    <w:basedOn w:val="Obinatablica"/>
    <w:uiPriority w:val="39"/>
    <w:rsid w:val="00B94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Šuica</dc:creator>
  <dc:description/>
  <cp:lastModifiedBy>Monika Miškić</cp:lastModifiedBy>
  <cp:revision>30</cp:revision>
  <cp:lastPrinted>2025-07-24T07:53:00Z</cp:lastPrinted>
  <dcterms:created xsi:type="dcterms:W3CDTF">2023-03-16T16:32:00Z</dcterms:created>
  <dcterms:modified xsi:type="dcterms:W3CDTF">2025-07-24T07:56:00Z</dcterms:modified>
  <dc:language>hr-HR</dc:language>
</cp:coreProperties>
</file>