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OBRAZLOŽENJE GODIŠNJEG IZVJEŠTAJA O IZVRŠENJU FINANCIJSKOG PLANA ZA 2022. GODINU</w:t>
      </w:r>
    </w:p>
    <w:p>
      <w:pPr>
        <w:pStyle w:val="Normal"/>
        <w:jc w:val="both"/>
        <w:rPr/>
      </w:pPr>
      <w:r>
        <w:rPr/>
      </w:r>
    </w:p>
    <w:p>
      <w:pPr>
        <w:pStyle w:val="Normal"/>
        <w:jc w:val="both"/>
        <w:rPr>
          <w:b/>
          <w:b/>
          <w:bCs/>
        </w:rPr>
      </w:pPr>
      <w:r>
        <w:rPr>
          <w:b/>
          <w:bCs/>
        </w:rPr>
        <w:t xml:space="preserve">1.OBRAZLOŽENJE OSTVARENIH PRIHODA I PRIMITAKA, RASHODA I IZDATAKA </w:t>
      </w:r>
    </w:p>
    <w:p>
      <w:pPr>
        <w:pStyle w:val="Normal"/>
        <w:jc w:val="both"/>
        <w:rPr/>
      </w:pPr>
      <w:r>
        <w:rPr/>
      </w:r>
    </w:p>
    <w:p>
      <w:pPr>
        <w:pStyle w:val="Normal"/>
        <w:jc w:val="both"/>
        <w:rPr>
          <w:b/>
          <w:b/>
          <w:bCs/>
        </w:rPr>
      </w:pPr>
      <w:r>
        <w:rPr>
          <w:b/>
          <w:bCs/>
        </w:rPr>
        <w:t>Prihodi i primici</w:t>
      </w:r>
    </w:p>
    <w:p>
      <w:pPr>
        <w:pStyle w:val="NoSpacing"/>
        <w:jc w:val="both"/>
        <w:rPr>
          <w:bCs/>
          <w:sz w:val="24"/>
          <w:szCs w:val="24"/>
        </w:rPr>
      </w:pPr>
      <w:r>
        <w:rPr>
          <w:bCs/>
          <w:sz w:val="24"/>
          <w:szCs w:val="24"/>
        </w:rPr>
        <w:t>U ovom izvještajnom razdoblju ostvareni su prihodi  u iznosu od 1.657.780,89 kn kako slijedi</w:t>
      </w:r>
    </w:p>
    <w:p>
      <w:pPr>
        <w:pStyle w:val="NoSpacing"/>
        <w:jc w:val="both"/>
        <w:rPr>
          <w:bCs/>
          <w:sz w:val="24"/>
          <w:szCs w:val="24"/>
        </w:rPr>
      </w:pPr>
      <w:r>
        <w:rPr>
          <w:bCs/>
          <w:sz w:val="24"/>
          <w:szCs w:val="24"/>
        </w:rPr>
      </w:r>
    </w:p>
    <w:p>
      <w:pPr>
        <w:pStyle w:val="NoSpacing"/>
        <w:jc w:val="both"/>
        <w:rPr>
          <w:bCs/>
          <w:sz w:val="24"/>
          <w:szCs w:val="24"/>
        </w:rPr>
      </w:pPr>
      <w:r>
        <w:rPr>
          <w:bCs/>
          <w:sz w:val="24"/>
          <w:szCs w:val="24"/>
        </w:rPr>
        <w:t>-prihodi iz proračuna Općine</w:t>
        <w:tab/>
        <w:tab/>
        <w:tab/>
        <w:t xml:space="preserve"> 742.980,70 kn</w:t>
      </w:r>
    </w:p>
    <w:p>
      <w:pPr>
        <w:pStyle w:val="NoSpacing"/>
        <w:jc w:val="both"/>
        <w:rPr>
          <w:bCs/>
          <w:sz w:val="24"/>
          <w:szCs w:val="24"/>
        </w:rPr>
      </w:pPr>
      <w:r>
        <w:rPr>
          <w:bCs/>
          <w:sz w:val="24"/>
          <w:szCs w:val="24"/>
        </w:rPr>
        <w:t>-prihodi od sufinanciranja roditelja</w:t>
        <w:tab/>
        <w:tab/>
        <w:t xml:space="preserve"> 892.807,00 kn</w:t>
      </w:r>
    </w:p>
    <w:p>
      <w:pPr>
        <w:pStyle w:val="NoSpacing"/>
        <w:jc w:val="both"/>
        <w:rPr>
          <w:bCs/>
          <w:sz w:val="24"/>
          <w:szCs w:val="24"/>
        </w:rPr>
      </w:pPr>
      <w:r>
        <w:rPr>
          <w:bCs/>
          <w:sz w:val="24"/>
          <w:szCs w:val="24"/>
        </w:rPr>
        <w:t xml:space="preserve">-tekuće pomoći  iz državnog proračuna </w:t>
        <w:tab/>
        <w:t xml:space="preserve">  </w:t>
      </w:r>
    </w:p>
    <w:p>
      <w:pPr>
        <w:pStyle w:val="NoSpacing"/>
        <w:jc w:val="both"/>
        <w:rPr>
          <w:bCs/>
          <w:sz w:val="24"/>
          <w:szCs w:val="24"/>
        </w:rPr>
      </w:pPr>
      <w:r>
        <w:rPr>
          <w:bCs/>
          <w:sz w:val="24"/>
          <w:szCs w:val="24"/>
        </w:rPr>
        <w:t>prorač.korisnicima JLPS</w:t>
        <w:tab/>
        <w:tab/>
        <w:tab/>
        <w:t xml:space="preserve">    7.500,00 kn</w:t>
      </w:r>
    </w:p>
    <w:p>
      <w:pPr>
        <w:pStyle w:val="NoSpacing"/>
        <w:jc w:val="both"/>
        <w:rPr>
          <w:bCs/>
          <w:sz w:val="24"/>
          <w:szCs w:val="24"/>
        </w:rPr>
      </w:pPr>
      <w:r>
        <w:rPr>
          <w:bCs/>
          <w:sz w:val="24"/>
          <w:szCs w:val="24"/>
        </w:rPr>
        <w:t>-tekuće donacije</w:t>
        <w:tab/>
        <w:tab/>
        <w:tab/>
        <w:tab/>
        <w:t xml:space="preserve">  14.000,00 kn</w:t>
      </w:r>
    </w:p>
    <w:p>
      <w:pPr>
        <w:pStyle w:val="NoSpacing"/>
        <w:jc w:val="both"/>
        <w:rPr>
          <w:bCs/>
          <w:sz w:val="24"/>
          <w:szCs w:val="24"/>
        </w:rPr>
      </w:pPr>
      <w:r>
        <w:rPr>
          <w:bCs/>
          <w:sz w:val="24"/>
          <w:szCs w:val="24"/>
        </w:rPr>
        <w:t>- prihodi od kamata</w:t>
        <w:tab/>
        <w:tab/>
        <w:tab/>
        <w:tab/>
        <w:t xml:space="preserve">            0,68 kn</w:t>
      </w:r>
    </w:p>
    <w:p>
      <w:pPr>
        <w:pStyle w:val="NoSpacing"/>
        <w:jc w:val="both"/>
        <w:rPr>
          <w:bCs/>
          <w:sz w:val="24"/>
          <w:szCs w:val="24"/>
        </w:rPr>
      </w:pPr>
      <w:r>
        <w:rPr>
          <w:bCs/>
          <w:sz w:val="24"/>
          <w:szCs w:val="24"/>
        </w:rPr>
        <w:t xml:space="preserve">-ostali  prihodi </w:t>
        <w:tab/>
        <w:tab/>
        <w:tab/>
        <w:tab/>
        <w:t xml:space="preserve">        492,51 kn</w:t>
        <w:tab/>
      </w:r>
    </w:p>
    <w:p>
      <w:pPr>
        <w:pStyle w:val="NoSpacing"/>
        <w:rPr/>
      </w:pPr>
      <w:r>
        <w:rPr/>
      </w:r>
    </w:p>
    <w:p>
      <w:pPr>
        <w:pStyle w:val="NoSpacing"/>
        <w:rPr/>
      </w:pPr>
      <w:r>
        <w:rPr/>
        <w:t>Prihod iz Proračuna Općine Ernestinovo povećao se u odnosu na prethodnu godinu. Dječji vrtić provodi program „Obiteljski sklad kroz produljeni rad“ financiran sredstvima EU, a nosilac projekta je Općina Ernestinovo te dio sredstava za provođenje ovog projekta uplaćuje na račun vrtića.</w:t>
      </w:r>
    </w:p>
    <w:p>
      <w:pPr>
        <w:pStyle w:val="NoSpacing"/>
        <w:rPr/>
      </w:pPr>
      <w:r>
        <w:rPr/>
      </w:r>
    </w:p>
    <w:p>
      <w:pPr>
        <w:pStyle w:val="NoSpacing"/>
        <w:rPr/>
      </w:pPr>
      <w:r>
        <w:rPr/>
        <w:t>Također su se povećali prihodi od sufinanciranja roditelja, budući da upis djece znatno povećao , a uvedena je i jaslička skupina.</w:t>
      </w:r>
    </w:p>
    <w:p>
      <w:pPr>
        <w:pStyle w:val="NoSpacing"/>
        <w:rPr/>
      </w:pPr>
      <w:r>
        <w:rPr/>
      </w:r>
    </w:p>
    <w:p>
      <w:pPr>
        <w:pStyle w:val="NoSpacing"/>
        <w:jc w:val="both"/>
        <w:rPr>
          <w:bCs/>
          <w:sz w:val="24"/>
          <w:szCs w:val="24"/>
        </w:rPr>
      </w:pPr>
      <w:r>
        <w:rPr>
          <w:bCs/>
          <w:sz w:val="24"/>
          <w:szCs w:val="24"/>
        </w:rPr>
        <w:t>Tekuće pomoći proračunskim korisnicima iz proračuna koji im nije nadležan   u iznosu od 7.500,00  kn odnosi se na pomoći od strane Ministarstva  znanosti i obrazovanja za provođenje programa predškole.</w:t>
      </w:r>
    </w:p>
    <w:p>
      <w:pPr>
        <w:pStyle w:val="NoSpacing"/>
        <w:rPr/>
      </w:pPr>
      <w:r>
        <w:rPr/>
      </w:r>
    </w:p>
    <w:p>
      <w:pPr>
        <w:pStyle w:val="NoSpacing"/>
        <w:rPr/>
      </w:pPr>
      <w:r>
        <w:rPr/>
        <w:t>Donacije u iznosu od 14.000,00 kuna dobivena je od HEP-a za provođenje projekta „Sportom do zdravlja DV Ogledalce“</w:t>
      </w:r>
    </w:p>
    <w:p>
      <w:pPr>
        <w:pStyle w:val="NoSpacing"/>
        <w:rPr/>
      </w:pPr>
      <w:r>
        <w:rPr/>
      </w:r>
    </w:p>
    <w:p>
      <w:pPr>
        <w:pStyle w:val="NoSpacing"/>
        <w:rPr>
          <w:b/>
          <w:b/>
          <w:bCs/>
        </w:rPr>
      </w:pPr>
      <w:r>
        <w:rPr>
          <w:b/>
          <w:bCs/>
        </w:rPr>
        <w:t>Pregled potraživanja na dan 31.12.2022.</w:t>
      </w:r>
    </w:p>
    <w:p>
      <w:pPr>
        <w:pStyle w:val="NoSpacing"/>
        <w:rPr>
          <w:b/>
          <w:b/>
          <w:bCs/>
        </w:rPr>
      </w:pPr>
      <w:r>
        <w:rPr>
          <w:b/>
          <w:bCs/>
        </w:rPr>
      </w:r>
    </w:p>
    <w:tbl>
      <w:tblPr>
        <w:tblStyle w:val="Reetkatablice"/>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2778"/>
        <w:gridCol w:w="1900"/>
        <w:gridCol w:w="1725"/>
        <w:gridCol w:w="1813"/>
      </w:tblGrid>
      <w:tr>
        <w:trPr/>
        <w:tc>
          <w:tcPr>
            <w:tcW w:w="846" w:type="dxa"/>
            <w:tcBorders/>
          </w:tcPr>
          <w:p>
            <w:pPr>
              <w:pStyle w:val="NoSpacing"/>
              <w:widowControl/>
              <w:spacing w:before="0" w:after="0"/>
              <w:jc w:val="left"/>
              <w:rPr>
                <w:b/>
                <w:b/>
                <w:bCs/>
              </w:rPr>
            </w:pPr>
            <w:r>
              <w:rPr>
                <w:rFonts w:eastAsia="Calibri" w:cs=""/>
                <w:b/>
                <w:bCs/>
                <w:kern w:val="0"/>
                <w:sz w:val="22"/>
                <w:szCs w:val="22"/>
                <w:lang w:val="hr-HR" w:eastAsia="en-US" w:bidi="ar-SA"/>
              </w:rPr>
              <w:t>Red.br</w:t>
            </w:r>
          </w:p>
        </w:tc>
        <w:tc>
          <w:tcPr>
            <w:tcW w:w="2778" w:type="dxa"/>
            <w:tcBorders/>
          </w:tcPr>
          <w:p>
            <w:pPr>
              <w:pStyle w:val="NoSpacing"/>
              <w:widowControl/>
              <w:spacing w:before="0" w:after="0"/>
              <w:jc w:val="left"/>
              <w:rPr>
                <w:b/>
                <w:b/>
                <w:bCs/>
              </w:rPr>
            </w:pPr>
            <w:r>
              <w:rPr>
                <w:rFonts w:eastAsia="Calibri" w:cs=""/>
                <w:b/>
                <w:bCs/>
                <w:kern w:val="0"/>
                <w:sz w:val="22"/>
                <w:szCs w:val="22"/>
                <w:lang w:val="hr-HR" w:eastAsia="en-US" w:bidi="ar-SA"/>
              </w:rPr>
              <w:t>Opis potraživanja</w:t>
            </w:r>
          </w:p>
        </w:tc>
        <w:tc>
          <w:tcPr>
            <w:tcW w:w="1900" w:type="dxa"/>
            <w:tcBorders/>
          </w:tcPr>
          <w:p>
            <w:pPr>
              <w:pStyle w:val="NoSpacing"/>
              <w:widowControl/>
              <w:spacing w:before="0" w:after="0"/>
              <w:jc w:val="left"/>
              <w:rPr>
                <w:b/>
                <w:b/>
                <w:bCs/>
              </w:rPr>
            </w:pPr>
            <w:r>
              <w:rPr>
                <w:rFonts w:eastAsia="Calibri" w:cs=""/>
                <w:b/>
                <w:bCs/>
                <w:kern w:val="0"/>
                <w:sz w:val="22"/>
                <w:szCs w:val="22"/>
                <w:lang w:val="hr-HR" w:eastAsia="en-US" w:bidi="ar-SA"/>
              </w:rPr>
              <w:t>Stanje 31.12.2022.</w:t>
            </w:r>
          </w:p>
        </w:tc>
        <w:tc>
          <w:tcPr>
            <w:tcW w:w="1725" w:type="dxa"/>
            <w:tcBorders/>
          </w:tcPr>
          <w:p>
            <w:pPr>
              <w:pStyle w:val="NoSpacing"/>
              <w:widowControl/>
              <w:spacing w:before="0" w:after="0"/>
              <w:jc w:val="left"/>
              <w:rPr>
                <w:b/>
                <w:b/>
                <w:bCs/>
              </w:rPr>
            </w:pPr>
            <w:r>
              <w:rPr>
                <w:rFonts w:eastAsia="Calibri" w:cs=""/>
                <w:b/>
                <w:bCs/>
                <w:kern w:val="0"/>
                <w:sz w:val="22"/>
                <w:szCs w:val="22"/>
                <w:lang w:val="hr-HR" w:eastAsia="en-US" w:bidi="ar-SA"/>
              </w:rPr>
              <w:t>Dospjela potraživanja</w:t>
            </w:r>
          </w:p>
        </w:tc>
        <w:tc>
          <w:tcPr>
            <w:tcW w:w="1813" w:type="dxa"/>
            <w:tcBorders/>
          </w:tcPr>
          <w:p>
            <w:pPr>
              <w:pStyle w:val="NoSpacing"/>
              <w:widowControl/>
              <w:spacing w:before="0" w:after="0"/>
              <w:jc w:val="left"/>
              <w:rPr>
                <w:b/>
                <w:b/>
                <w:bCs/>
              </w:rPr>
            </w:pPr>
            <w:r>
              <w:rPr>
                <w:rFonts w:eastAsia="Calibri" w:cs=""/>
                <w:b/>
                <w:bCs/>
                <w:kern w:val="0"/>
                <w:sz w:val="22"/>
                <w:szCs w:val="22"/>
                <w:lang w:val="hr-HR" w:eastAsia="en-US" w:bidi="ar-SA"/>
              </w:rPr>
              <w:t>Nedospjela</w:t>
            </w:r>
          </w:p>
          <w:p>
            <w:pPr>
              <w:pStyle w:val="NoSpacing"/>
              <w:widowControl/>
              <w:spacing w:before="0" w:after="0"/>
              <w:jc w:val="left"/>
              <w:rPr>
                <w:b/>
                <w:b/>
                <w:bCs/>
              </w:rPr>
            </w:pPr>
            <w:r>
              <w:rPr>
                <w:rFonts w:eastAsia="Calibri" w:cs=""/>
                <w:b/>
                <w:bCs/>
                <w:kern w:val="0"/>
                <w:sz w:val="22"/>
                <w:szCs w:val="22"/>
                <w:lang w:val="hr-HR" w:eastAsia="en-US" w:bidi="ar-SA"/>
              </w:rPr>
              <w:t>potraživanja</w:t>
            </w:r>
          </w:p>
        </w:tc>
      </w:tr>
      <w:tr>
        <w:trPr/>
        <w:tc>
          <w:tcPr>
            <w:tcW w:w="846"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1</w:t>
            </w:r>
          </w:p>
        </w:tc>
        <w:tc>
          <w:tcPr>
            <w:tcW w:w="2778"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Potraživanja za prihode po posebnim propisima</w:t>
            </w:r>
          </w:p>
        </w:tc>
        <w:tc>
          <w:tcPr>
            <w:tcW w:w="1900"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7.693,00</w:t>
            </w:r>
          </w:p>
        </w:tc>
        <w:tc>
          <w:tcPr>
            <w:tcW w:w="1725"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7.693,00</w:t>
            </w:r>
          </w:p>
        </w:tc>
        <w:tc>
          <w:tcPr>
            <w:tcW w:w="1813"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w:t>
            </w:r>
          </w:p>
        </w:tc>
      </w:tr>
      <w:tr>
        <w:trPr/>
        <w:tc>
          <w:tcPr>
            <w:tcW w:w="846"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2778" w:type="dxa"/>
            <w:tcBorders/>
          </w:tcPr>
          <w:p>
            <w:pPr>
              <w:pStyle w:val="NoSpacing"/>
              <w:widowControl/>
              <w:spacing w:before="0" w:after="0"/>
              <w:jc w:val="left"/>
              <w:rPr>
                <w:b/>
                <w:b/>
                <w:bCs/>
              </w:rPr>
            </w:pPr>
            <w:r>
              <w:rPr>
                <w:rFonts w:eastAsia="Calibri" w:cs=""/>
                <w:b/>
                <w:bCs/>
                <w:kern w:val="0"/>
                <w:sz w:val="22"/>
                <w:szCs w:val="22"/>
                <w:lang w:val="hr-HR" w:eastAsia="en-US" w:bidi="ar-SA"/>
              </w:rPr>
              <w:t>UKUPNO</w:t>
            </w:r>
          </w:p>
        </w:tc>
        <w:tc>
          <w:tcPr>
            <w:tcW w:w="1900" w:type="dxa"/>
            <w:tcBorders/>
          </w:tcPr>
          <w:p>
            <w:pPr>
              <w:pStyle w:val="NoSpacing"/>
              <w:widowControl/>
              <w:spacing w:before="0" w:after="0"/>
              <w:jc w:val="left"/>
              <w:rPr>
                <w:b/>
                <w:b/>
                <w:bCs/>
              </w:rPr>
            </w:pPr>
            <w:r>
              <w:rPr>
                <w:rFonts w:eastAsia="Calibri" w:cs=""/>
                <w:b/>
                <w:bCs/>
                <w:kern w:val="0"/>
                <w:sz w:val="22"/>
                <w:szCs w:val="22"/>
                <w:lang w:val="hr-HR" w:eastAsia="en-US" w:bidi="ar-SA"/>
              </w:rPr>
              <w:t>7.693,00</w:t>
            </w:r>
          </w:p>
        </w:tc>
        <w:tc>
          <w:tcPr>
            <w:tcW w:w="1725" w:type="dxa"/>
            <w:tcBorders/>
          </w:tcPr>
          <w:p>
            <w:pPr>
              <w:pStyle w:val="NoSpacing"/>
              <w:widowControl/>
              <w:spacing w:before="0" w:after="0"/>
              <w:jc w:val="left"/>
              <w:rPr>
                <w:b/>
                <w:b/>
                <w:bCs/>
              </w:rPr>
            </w:pPr>
            <w:r>
              <w:rPr>
                <w:rFonts w:eastAsia="Calibri" w:cs=""/>
                <w:b/>
                <w:bCs/>
                <w:kern w:val="0"/>
                <w:sz w:val="22"/>
                <w:szCs w:val="22"/>
                <w:lang w:val="hr-HR" w:eastAsia="en-US" w:bidi="ar-SA"/>
              </w:rPr>
              <w:t>7.693,00</w:t>
            </w:r>
          </w:p>
        </w:tc>
        <w:tc>
          <w:tcPr>
            <w:tcW w:w="1813"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r>
    </w:tbl>
    <w:p>
      <w:pPr>
        <w:pStyle w:val="NoSpacing"/>
        <w:rPr/>
      </w:pPr>
      <w:r>
        <w:rPr/>
      </w:r>
    </w:p>
    <w:p>
      <w:pPr>
        <w:pStyle w:val="NoSpacing"/>
        <w:rPr/>
      </w:pPr>
      <w:r>
        <w:rPr/>
      </w:r>
    </w:p>
    <w:p>
      <w:pPr>
        <w:pStyle w:val="NoSpacing"/>
        <w:rPr>
          <w:b/>
          <w:b/>
          <w:bCs/>
        </w:rPr>
      </w:pPr>
      <w:r>
        <w:rPr>
          <w:b/>
          <w:bCs/>
        </w:rPr>
        <w:t>Rashodi i izdaci</w:t>
      </w:r>
    </w:p>
    <w:p>
      <w:pPr>
        <w:pStyle w:val="NoSpacing"/>
        <w:rPr>
          <w:b/>
          <w:b/>
          <w:bCs/>
        </w:rPr>
      </w:pPr>
      <w:r>
        <w:rPr>
          <w:b/>
          <w:bCs/>
        </w:rPr>
      </w:r>
    </w:p>
    <w:p>
      <w:pPr>
        <w:pStyle w:val="NoSpacing"/>
        <w:jc w:val="both"/>
        <w:rPr>
          <w:bCs/>
          <w:sz w:val="24"/>
          <w:szCs w:val="24"/>
        </w:rPr>
      </w:pPr>
      <w:r>
        <w:rPr>
          <w:bCs/>
          <w:sz w:val="24"/>
          <w:szCs w:val="24"/>
        </w:rPr>
        <w:t xml:space="preserve">Rashodi su ostvareni u iznosu od 1.668.965,90 kn   što je znatno više u odnosu na prethodnu godinu. </w:t>
      </w:r>
    </w:p>
    <w:p>
      <w:pPr>
        <w:pStyle w:val="NoSpacing"/>
        <w:jc w:val="both"/>
        <w:rPr>
          <w:bCs/>
          <w:sz w:val="24"/>
          <w:szCs w:val="24"/>
        </w:rPr>
      </w:pPr>
      <w:r>
        <w:rPr>
          <w:bCs/>
          <w:sz w:val="24"/>
          <w:szCs w:val="24"/>
        </w:rPr>
      </w:r>
    </w:p>
    <w:p>
      <w:pPr>
        <w:pStyle w:val="NoSpacing"/>
        <w:jc w:val="both"/>
        <w:rPr>
          <w:bCs/>
          <w:sz w:val="24"/>
          <w:szCs w:val="24"/>
        </w:rPr>
      </w:pPr>
      <w:r>
        <w:rPr>
          <w:bCs/>
          <w:sz w:val="24"/>
          <w:szCs w:val="24"/>
        </w:rPr>
        <w:t xml:space="preserve">Budući da je porastao broj djece koji pohađaju vrtić bilo je potrebno zaposliti odgojiteljice kako bi se mogli provoditi programi. Također je zaposleno  stručnih suradnika na nepuno radno vrijeme kroz projekat „Obiteljski sklad kroz produljeni rad.  Porastom upisane djece u vrtić  rastu i ostali rashodi. Veliki utjecaj na veće rashode u odnosu prethodnu godinu imala je i inflacija. </w:t>
      </w:r>
    </w:p>
    <w:p>
      <w:pPr>
        <w:pStyle w:val="NoSpacing"/>
        <w:jc w:val="both"/>
        <w:rPr>
          <w:bCs/>
          <w:sz w:val="24"/>
          <w:szCs w:val="24"/>
        </w:rPr>
      </w:pPr>
      <w:r>
        <w:rPr>
          <w:bCs/>
          <w:sz w:val="24"/>
          <w:szCs w:val="24"/>
        </w:rPr>
      </w:r>
    </w:p>
    <w:p>
      <w:pPr>
        <w:pStyle w:val="NoSpacing"/>
        <w:rPr>
          <w:b/>
          <w:b/>
          <w:bCs/>
        </w:rPr>
      </w:pPr>
      <w:r>
        <w:rPr>
          <w:b/>
          <w:bCs/>
        </w:rPr>
        <w:t>Pregled obveza na dan 31.12.2022.</w:t>
      </w:r>
    </w:p>
    <w:p>
      <w:pPr>
        <w:pStyle w:val="NoSpacing"/>
        <w:rPr>
          <w:b/>
          <w:b/>
          <w:bCs/>
        </w:rPr>
      </w:pPr>
      <w:r>
        <w:rPr>
          <w:b/>
          <w:bCs/>
        </w:rPr>
      </w:r>
    </w:p>
    <w:p>
      <w:pPr>
        <w:pStyle w:val="NoSpacing"/>
        <w:rPr>
          <w:b/>
          <w:b/>
          <w:bCs/>
        </w:rPr>
      </w:pPr>
      <w:r>
        <w:rPr>
          <w:b/>
          <w:bCs/>
        </w:rPr>
      </w:r>
    </w:p>
    <w:tbl>
      <w:tblPr>
        <w:tblStyle w:val="Reetkatablice"/>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36"/>
        <w:gridCol w:w="3505"/>
        <w:gridCol w:w="1701"/>
        <w:gridCol w:w="1562"/>
        <w:gridCol w:w="1412"/>
      </w:tblGrid>
      <w:tr>
        <w:trPr/>
        <w:tc>
          <w:tcPr>
            <w:tcW w:w="882" w:type="dxa"/>
            <w:gridSpan w:val="2"/>
            <w:tcBorders/>
          </w:tcPr>
          <w:p>
            <w:pPr>
              <w:pStyle w:val="NoSpacing"/>
              <w:widowControl/>
              <w:spacing w:before="0" w:after="0"/>
              <w:jc w:val="left"/>
              <w:rPr>
                <w:b/>
                <w:b/>
                <w:bCs/>
              </w:rPr>
            </w:pPr>
            <w:r>
              <w:rPr>
                <w:rFonts w:eastAsia="Calibri" w:cs=""/>
                <w:b/>
                <w:bCs/>
                <w:kern w:val="0"/>
                <w:sz w:val="22"/>
                <w:szCs w:val="22"/>
                <w:lang w:val="hr-HR" w:eastAsia="en-US" w:bidi="ar-SA"/>
              </w:rPr>
              <w:t>Red.br.</w:t>
            </w:r>
          </w:p>
        </w:tc>
        <w:tc>
          <w:tcPr>
            <w:tcW w:w="3505" w:type="dxa"/>
            <w:tcBorders/>
          </w:tcPr>
          <w:p>
            <w:pPr>
              <w:pStyle w:val="NoSpacing"/>
              <w:widowControl/>
              <w:spacing w:before="0" w:after="0"/>
              <w:jc w:val="left"/>
              <w:rPr>
                <w:b/>
                <w:b/>
                <w:bCs/>
              </w:rPr>
            </w:pPr>
            <w:r>
              <w:rPr>
                <w:rFonts w:eastAsia="Calibri" w:cs=""/>
                <w:b/>
                <w:bCs/>
                <w:kern w:val="0"/>
                <w:sz w:val="22"/>
                <w:szCs w:val="22"/>
                <w:lang w:val="hr-HR" w:eastAsia="en-US" w:bidi="ar-SA"/>
              </w:rPr>
              <w:t>Opis nepodmirenih obveza</w:t>
            </w:r>
          </w:p>
        </w:tc>
        <w:tc>
          <w:tcPr>
            <w:tcW w:w="1701" w:type="dxa"/>
            <w:tcBorders/>
          </w:tcPr>
          <w:p>
            <w:pPr>
              <w:pStyle w:val="NoSpacing"/>
              <w:widowControl/>
              <w:spacing w:before="0" w:after="0"/>
              <w:jc w:val="left"/>
              <w:rPr>
                <w:b/>
                <w:b/>
                <w:bCs/>
              </w:rPr>
            </w:pPr>
            <w:r>
              <w:rPr>
                <w:rFonts w:eastAsia="Calibri" w:cs=""/>
                <w:b/>
                <w:bCs/>
                <w:kern w:val="0"/>
                <w:sz w:val="22"/>
                <w:szCs w:val="22"/>
                <w:lang w:val="hr-HR" w:eastAsia="en-US" w:bidi="ar-SA"/>
              </w:rPr>
              <w:t>Stanje 31.12.2022.</w:t>
            </w:r>
          </w:p>
        </w:tc>
        <w:tc>
          <w:tcPr>
            <w:tcW w:w="1562" w:type="dxa"/>
            <w:tcBorders/>
          </w:tcPr>
          <w:p>
            <w:pPr>
              <w:pStyle w:val="NoSpacing"/>
              <w:widowControl/>
              <w:spacing w:before="0" w:after="0"/>
              <w:jc w:val="left"/>
              <w:rPr>
                <w:b/>
                <w:b/>
                <w:bCs/>
              </w:rPr>
            </w:pPr>
            <w:r>
              <w:rPr>
                <w:rFonts w:eastAsia="Calibri" w:cs=""/>
                <w:b/>
                <w:bCs/>
                <w:kern w:val="0"/>
                <w:sz w:val="22"/>
                <w:szCs w:val="22"/>
                <w:lang w:val="hr-HR" w:eastAsia="en-US" w:bidi="ar-SA"/>
              </w:rPr>
              <w:t>Dospjele obveze</w:t>
            </w:r>
          </w:p>
        </w:tc>
        <w:tc>
          <w:tcPr>
            <w:tcW w:w="1412" w:type="dxa"/>
            <w:tcBorders/>
          </w:tcPr>
          <w:p>
            <w:pPr>
              <w:pStyle w:val="NoSpacing"/>
              <w:widowControl/>
              <w:spacing w:before="0" w:after="0"/>
              <w:jc w:val="left"/>
              <w:rPr>
                <w:b/>
                <w:b/>
                <w:bCs/>
              </w:rPr>
            </w:pPr>
            <w:r>
              <w:rPr>
                <w:rFonts w:eastAsia="Calibri" w:cs=""/>
                <w:b/>
                <w:bCs/>
                <w:kern w:val="0"/>
                <w:sz w:val="22"/>
                <w:szCs w:val="22"/>
                <w:lang w:val="hr-HR" w:eastAsia="en-US" w:bidi="ar-SA"/>
              </w:rPr>
              <w:t>Nedospjele</w:t>
            </w:r>
          </w:p>
          <w:p>
            <w:pPr>
              <w:pStyle w:val="NoSpacing"/>
              <w:widowControl/>
              <w:spacing w:before="0" w:after="0"/>
              <w:jc w:val="left"/>
              <w:rPr>
                <w:b/>
                <w:b/>
                <w:bCs/>
              </w:rPr>
            </w:pPr>
            <w:r>
              <w:rPr>
                <w:rFonts w:eastAsia="Calibri" w:cs=""/>
                <w:b/>
                <w:bCs/>
                <w:kern w:val="0"/>
                <w:sz w:val="22"/>
                <w:szCs w:val="22"/>
                <w:lang w:val="hr-HR" w:eastAsia="en-US" w:bidi="ar-SA"/>
              </w:rPr>
              <w:t>obveze</w:t>
            </w:r>
          </w:p>
        </w:tc>
      </w:tr>
      <w:tr>
        <w:trPr/>
        <w:tc>
          <w:tcPr>
            <w:tcW w:w="882" w:type="dxa"/>
            <w:gridSpan w:val="2"/>
            <w:tcBorders/>
          </w:tcPr>
          <w:p>
            <w:pPr>
              <w:pStyle w:val="NoSpacing"/>
              <w:widowControl/>
              <w:spacing w:before="0" w:after="0"/>
              <w:jc w:val="left"/>
              <w:rPr>
                <w:b/>
                <w:b/>
                <w:bCs/>
              </w:rPr>
            </w:pPr>
            <w:r>
              <w:rPr>
                <w:rFonts w:eastAsia="Calibri" w:cs=""/>
                <w:b/>
                <w:bCs/>
                <w:kern w:val="0"/>
                <w:sz w:val="22"/>
                <w:szCs w:val="22"/>
                <w:lang w:val="hr-HR" w:eastAsia="en-US" w:bidi="ar-SA"/>
              </w:rPr>
              <w:t>1</w:t>
            </w:r>
          </w:p>
        </w:tc>
        <w:tc>
          <w:tcPr>
            <w:tcW w:w="3505" w:type="dxa"/>
            <w:tcBorders/>
          </w:tcPr>
          <w:p>
            <w:pPr>
              <w:pStyle w:val="NoSpacing"/>
              <w:widowControl/>
              <w:spacing w:before="0" w:after="0"/>
              <w:jc w:val="left"/>
              <w:rPr>
                <w:b/>
                <w:b/>
                <w:bCs/>
              </w:rPr>
            </w:pPr>
            <w:r>
              <w:rPr>
                <w:rFonts w:eastAsia="Calibri" w:cs=""/>
                <w:b/>
                <w:bCs/>
                <w:kern w:val="0"/>
                <w:sz w:val="22"/>
                <w:szCs w:val="22"/>
                <w:lang w:val="hr-HR" w:eastAsia="en-US" w:bidi="ar-SA"/>
              </w:rPr>
              <w:t>Obveze za zaposlene</w:t>
            </w:r>
          </w:p>
        </w:tc>
        <w:tc>
          <w:tcPr>
            <w:tcW w:w="1701" w:type="dxa"/>
            <w:tcBorders/>
          </w:tcPr>
          <w:p>
            <w:pPr>
              <w:pStyle w:val="NoSpacing"/>
              <w:widowControl/>
              <w:spacing w:before="0" w:after="0"/>
              <w:jc w:val="left"/>
              <w:rPr>
                <w:b/>
                <w:b/>
                <w:bCs/>
              </w:rPr>
            </w:pPr>
            <w:r>
              <w:rPr>
                <w:rFonts w:eastAsia="Calibri" w:cs=""/>
                <w:b/>
                <w:bCs/>
                <w:kern w:val="0"/>
                <w:sz w:val="22"/>
                <w:szCs w:val="22"/>
                <w:lang w:val="hr-HR" w:eastAsia="en-US" w:bidi="ar-SA"/>
              </w:rPr>
              <w:t>110.343,48</w:t>
            </w:r>
          </w:p>
        </w:tc>
        <w:tc>
          <w:tcPr>
            <w:tcW w:w="1562" w:type="dxa"/>
            <w:tcBorders/>
          </w:tcPr>
          <w:p>
            <w:pPr>
              <w:pStyle w:val="NoSpacing"/>
              <w:widowControl/>
              <w:spacing w:before="0" w:after="0"/>
              <w:jc w:val="left"/>
              <w:rPr>
                <w:b/>
                <w:b/>
                <w:bCs/>
              </w:rPr>
            </w:pPr>
            <w:r>
              <w:rPr>
                <w:rFonts w:eastAsia="Calibri" w:cs=""/>
                <w:b/>
                <w:bCs/>
                <w:kern w:val="0"/>
                <w:sz w:val="22"/>
                <w:szCs w:val="22"/>
                <w:lang w:val="hr-HR" w:eastAsia="en-US" w:bidi="ar-SA"/>
              </w:rPr>
            </w:r>
          </w:p>
        </w:tc>
        <w:tc>
          <w:tcPr>
            <w:tcW w:w="1412" w:type="dxa"/>
            <w:tcBorders/>
          </w:tcPr>
          <w:p>
            <w:pPr>
              <w:pStyle w:val="NoSpacing"/>
              <w:widowControl/>
              <w:spacing w:before="0" w:after="0"/>
              <w:jc w:val="left"/>
              <w:rPr>
                <w:b/>
                <w:b/>
                <w:bCs/>
              </w:rPr>
            </w:pPr>
            <w:r>
              <w:rPr>
                <w:rFonts w:eastAsia="Calibri" w:cs=""/>
                <w:b/>
                <w:bCs/>
                <w:kern w:val="0"/>
                <w:sz w:val="22"/>
                <w:szCs w:val="22"/>
                <w:lang w:val="hr-HR" w:eastAsia="en-US" w:bidi="ar-SA"/>
              </w:rPr>
              <w:t>110.343,48</w:t>
            </w:r>
          </w:p>
        </w:tc>
      </w:tr>
      <w:tr>
        <w:trPr/>
        <w:tc>
          <w:tcPr>
            <w:tcW w:w="882" w:type="dxa"/>
            <w:gridSpan w:val="2"/>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1.1.</w:t>
            </w:r>
          </w:p>
        </w:tc>
        <w:tc>
          <w:tcPr>
            <w:tcW w:w="3505"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Obveze za zaposlene</w:t>
            </w:r>
          </w:p>
        </w:tc>
        <w:tc>
          <w:tcPr>
            <w:tcW w:w="1701"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110.343,48</w:t>
            </w:r>
          </w:p>
        </w:tc>
        <w:tc>
          <w:tcPr>
            <w:tcW w:w="1562"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412"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110.343,48</w:t>
            </w:r>
          </w:p>
        </w:tc>
      </w:tr>
      <w:tr>
        <w:trPr/>
        <w:tc>
          <w:tcPr>
            <w:tcW w:w="882" w:type="dxa"/>
            <w:gridSpan w:val="2"/>
            <w:tcBorders/>
          </w:tcPr>
          <w:p>
            <w:pPr>
              <w:pStyle w:val="NoSpacing"/>
              <w:widowControl/>
              <w:spacing w:before="0" w:after="0"/>
              <w:jc w:val="left"/>
              <w:rPr>
                <w:b/>
                <w:b/>
                <w:bCs/>
              </w:rPr>
            </w:pPr>
            <w:r>
              <w:rPr>
                <w:rFonts w:eastAsia="Calibri" w:cs=""/>
                <w:b/>
                <w:bCs/>
                <w:kern w:val="0"/>
                <w:sz w:val="22"/>
                <w:szCs w:val="22"/>
                <w:lang w:val="hr-HR" w:eastAsia="en-US" w:bidi="ar-SA"/>
              </w:rPr>
              <w:t>2</w:t>
            </w:r>
          </w:p>
        </w:tc>
        <w:tc>
          <w:tcPr>
            <w:tcW w:w="3505" w:type="dxa"/>
            <w:tcBorders/>
          </w:tcPr>
          <w:p>
            <w:pPr>
              <w:pStyle w:val="NoSpacing"/>
              <w:widowControl/>
              <w:spacing w:before="0" w:after="0"/>
              <w:jc w:val="left"/>
              <w:rPr>
                <w:b/>
                <w:b/>
                <w:bCs/>
              </w:rPr>
            </w:pPr>
            <w:r>
              <w:rPr>
                <w:rFonts w:eastAsia="Calibri" w:cs=""/>
                <w:b/>
                <w:bCs/>
                <w:kern w:val="0"/>
                <w:sz w:val="22"/>
                <w:szCs w:val="22"/>
                <w:lang w:val="hr-HR" w:eastAsia="en-US" w:bidi="ar-SA"/>
              </w:rPr>
              <w:t>Obveze za materijalne rashode</w:t>
            </w:r>
          </w:p>
        </w:tc>
        <w:tc>
          <w:tcPr>
            <w:tcW w:w="1701" w:type="dxa"/>
            <w:tcBorders/>
          </w:tcPr>
          <w:p>
            <w:pPr>
              <w:pStyle w:val="NoSpacing"/>
              <w:widowControl/>
              <w:spacing w:before="0" w:after="0"/>
              <w:jc w:val="left"/>
              <w:rPr>
                <w:b/>
                <w:b/>
                <w:bCs/>
              </w:rPr>
            </w:pPr>
            <w:r>
              <w:rPr>
                <w:rFonts w:eastAsia="Calibri" w:cs=""/>
                <w:b/>
                <w:bCs/>
                <w:kern w:val="0"/>
                <w:sz w:val="22"/>
                <w:szCs w:val="22"/>
                <w:lang w:val="hr-HR" w:eastAsia="en-US" w:bidi="ar-SA"/>
              </w:rPr>
              <w:t xml:space="preserve"> </w:t>
            </w:r>
            <w:r>
              <w:rPr>
                <w:rFonts w:eastAsia="Calibri" w:cs=""/>
                <w:b/>
                <w:bCs/>
                <w:kern w:val="0"/>
                <w:sz w:val="22"/>
                <w:szCs w:val="22"/>
                <w:lang w:val="hr-HR" w:eastAsia="en-US" w:bidi="ar-SA"/>
              </w:rPr>
              <w:t>16.560,98</w:t>
            </w:r>
          </w:p>
        </w:tc>
        <w:tc>
          <w:tcPr>
            <w:tcW w:w="1562" w:type="dxa"/>
            <w:tcBorders/>
          </w:tcPr>
          <w:p>
            <w:pPr>
              <w:pStyle w:val="NoSpacing"/>
              <w:widowControl/>
              <w:spacing w:before="0" w:after="0"/>
              <w:jc w:val="left"/>
              <w:rPr>
                <w:b/>
                <w:b/>
                <w:bCs/>
              </w:rPr>
            </w:pPr>
            <w:r>
              <w:rPr>
                <w:rFonts w:eastAsia="Calibri" w:cs=""/>
                <w:b/>
                <w:bCs/>
                <w:kern w:val="0"/>
                <w:sz w:val="22"/>
                <w:szCs w:val="22"/>
                <w:lang w:val="hr-HR" w:eastAsia="en-US" w:bidi="ar-SA"/>
              </w:rPr>
            </w:r>
          </w:p>
        </w:tc>
        <w:tc>
          <w:tcPr>
            <w:tcW w:w="1412" w:type="dxa"/>
            <w:tcBorders/>
          </w:tcPr>
          <w:p>
            <w:pPr>
              <w:pStyle w:val="NoSpacing"/>
              <w:widowControl/>
              <w:spacing w:before="0" w:after="0"/>
              <w:jc w:val="left"/>
              <w:rPr>
                <w:b/>
                <w:b/>
                <w:bCs/>
              </w:rPr>
            </w:pPr>
            <w:r>
              <w:rPr>
                <w:rFonts w:eastAsia="Calibri" w:cs=""/>
                <w:b/>
                <w:bCs/>
                <w:kern w:val="0"/>
                <w:sz w:val="22"/>
                <w:szCs w:val="22"/>
                <w:lang w:val="hr-HR" w:eastAsia="en-US" w:bidi="ar-SA"/>
              </w:rPr>
              <w:t>16.560,98</w:t>
            </w:r>
          </w:p>
        </w:tc>
      </w:tr>
      <w:tr>
        <w:trPr/>
        <w:tc>
          <w:tcPr>
            <w:tcW w:w="882" w:type="dxa"/>
            <w:gridSpan w:val="2"/>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2.1.</w:t>
            </w:r>
          </w:p>
        </w:tc>
        <w:tc>
          <w:tcPr>
            <w:tcW w:w="3505"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Naknade troškova zaposlenima</w:t>
            </w:r>
          </w:p>
        </w:tc>
        <w:tc>
          <w:tcPr>
            <w:tcW w:w="1701"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 xml:space="preserve">   </w:t>
            </w:r>
            <w:r>
              <w:rPr>
                <w:rFonts w:eastAsia="Calibri" w:cs=""/>
                <w:kern w:val="0"/>
                <w:sz w:val="22"/>
                <w:szCs w:val="22"/>
                <w:lang w:val="hr-HR" w:eastAsia="en-US" w:bidi="ar-SA"/>
              </w:rPr>
              <w:t>8.001,00</w:t>
            </w:r>
          </w:p>
        </w:tc>
        <w:tc>
          <w:tcPr>
            <w:tcW w:w="1562"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412"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8.001,00</w:t>
            </w:r>
          </w:p>
        </w:tc>
      </w:tr>
      <w:tr>
        <w:trPr/>
        <w:tc>
          <w:tcPr>
            <w:tcW w:w="882" w:type="dxa"/>
            <w:gridSpan w:val="2"/>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2.2.</w:t>
            </w:r>
          </w:p>
        </w:tc>
        <w:tc>
          <w:tcPr>
            <w:tcW w:w="3505"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Rashodi za materijal i energiju</w:t>
            </w:r>
          </w:p>
        </w:tc>
        <w:tc>
          <w:tcPr>
            <w:tcW w:w="1701"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 xml:space="preserve">   </w:t>
            </w:r>
            <w:r>
              <w:rPr>
                <w:rFonts w:eastAsia="Calibri" w:cs=""/>
                <w:kern w:val="0"/>
                <w:sz w:val="22"/>
                <w:szCs w:val="22"/>
                <w:lang w:val="hr-HR" w:eastAsia="en-US" w:bidi="ar-SA"/>
              </w:rPr>
              <w:t>6.662,57</w:t>
            </w:r>
          </w:p>
        </w:tc>
        <w:tc>
          <w:tcPr>
            <w:tcW w:w="1562"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r>
          </w:p>
        </w:tc>
        <w:tc>
          <w:tcPr>
            <w:tcW w:w="1412"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6.662,57</w:t>
            </w:r>
          </w:p>
        </w:tc>
      </w:tr>
      <w:tr>
        <w:trPr>
          <w:trHeight w:val="338" w:hRule="atLeast"/>
        </w:trPr>
        <w:tc>
          <w:tcPr>
            <w:tcW w:w="882" w:type="dxa"/>
            <w:gridSpan w:val="2"/>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2.3.</w:t>
            </w:r>
          </w:p>
        </w:tc>
        <w:tc>
          <w:tcPr>
            <w:tcW w:w="3505"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Rashodi  za usluge</w:t>
            </w:r>
          </w:p>
        </w:tc>
        <w:tc>
          <w:tcPr>
            <w:tcW w:w="1701"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 xml:space="preserve">   </w:t>
            </w:r>
            <w:r>
              <w:rPr>
                <w:rFonts w:eastAsia="Calibri" w:cs=""/>
                <w:kern w:val="0"/>
                <w:sz w:val="22"/>
                <w:szCs w:val="22"/>
                <w:lang w:val="hr-HR" w:eastAsia="en-US" w:bidi="ar-SA"/>
              </w:rPr>
              <w:t>1.897,41</w:t>
            </w:r>
          </w:p>
        </w:tc>
        <w:tc>
          <w:tcPr>
            <w:tcW w:w="1562" w:type="dxa"/>
            <w:tcBorders/>
          </w:tcPr>
          <w:p>
            <w:pPr>
              <w:pStyle w:val="NoSpacing"/>
              <w:widowControl/>
              <w:spacing w:before="0" w:after="0"/>
              <w:jc w:val="left"/>
              <w:rPr>
                <w:b/>
                <w:b/>
                <w:bCs/>
              </w:rPr>
            </w:pPr>
            <w:r>
              <w:rPr>
                <w:rFonts w:eastAsia="Calibri" w:cs=""/>
                <w:b/>
                <w:bCs/>
                <w:kern w:val="0"/>
                <w:sz w:val="22"/>
                <w:szCs w:val="22"/>
                <w:lang w:val="hr-HR" w:eastAsia="en-US" w:bidi="ar-SA"/>
              </w:rPr>
            </w:r>
          </w:p>
        </w:tc>
        <w:tc>
          <w:tcPr>
            <w:tcW w:w="1412" w:type="dxa"/>
            <w:tcBorders/>
          </w:tcPr>
          <w:p>
            <w:pPr>
              <w:pStyle w:val="NoSpacing"/>
              <w:widowControl/>
              <w:spacing w:before="0" w:after="0"/>
              <w:jc w:val="left"/>
              <w:rPr>
                <w:rFonts w:ascii="Calibri" w:hAnsi="Calibri" w:eastAsia="Calibri" w:cs=""/>
                <w:kern w:val="0"/>
                <w:sz w:val="22"/>
                <w:szCs w:val="22"/>
                <w:lang w:val="hr-HR" w:eastAsia="en-US" w:bidi="ar-SA"/>
              </w:rPr>
            </w:pPr>
            <w:r>
              <w:rPr>
                <w:rFonts w:eastAsia="Calibri" w:cs=""/>
                <w:kern w:val="0"/>
                <w:sz w:val="22"/>
                <w:szCs w:val="22"/>
                <w:lang w:val="hr-HR" w:eastAsia="en-US" w:bidi="ar-SA"/>
              </w:rPr>
              <w:t>1.897,41</w:t>
            </w:r>
          </w:p>
        </w:tc>
      </w:tr>
      <w:tr>
        <w:trPr/>
        <w:tc>
          <w:tcPr>
            <w:tcW w:w="846" w:type="dxa"/>
            <w:tcBorders/>
          </w:tcPr>
          <w:p>
            <w:pPr>
              <w:pStyle w:val="NoSpacing"/>
              <w:widowControl/>
              <w:spacing w:before="0" w:after="0"/>
              <w:jc w:val="left"/>
              <w:rPr>
                <w:b/>
                <w:b/>
                <w:bCs/>
              </w:rPr>
            </w:pPr>
            <w:r>
              <w:rPr>
                <w:rFonts w:eastAsia="Calibri" w:cs=""/>
                <w:b/>
                <w:bCs/>
                <w:kern w:val="0"/>
                <w:sz w:val="22"/>
                <w:szCs w:val="22"/>
                <w:lang w:val="hr-HR" w:eastAsia="en-US" w:bidi="ar-SA"/>
              </w:rPr>
            </w:r>
          </w:p>
        </w:tc>
        <w:tc>
          <w:tcPr>
            <w:tcW w:w="3541" w:type="dxa"/>
            <w:gridSpan w:val="2"/>
            <w:tcBorders/>
          </w:tcPr>
          <w:p>
            <w:pPr>
              <w:pStyle w:val="NoSpacing"/>
              <w:widowControl/>
              <w:spacing w:before="0" w:after="0"/>
              <w:jc w:val="left"/>
              <w:rPr>
                <w:b/>
                <w:b/>
                <w:bCs/>
              </w:rPr>
            </w:pPr>
            <w:r>
              <w:rPr>
                <w:rFonts w:eastAsia="Calibri" w:cs=""/>
                <w:b/>
                <w:bCs/>
                <w:kern w:val="0"/>
                <w:sz w:val="22"/>
                <w:szCs w:val="22"/>
                <w:lang w:val="hr-HR" w:eastAsia="en-US" w:bidi="ar-SA"/>
              </w:rPr>
              <w:t>UKUPNO</w:t>
            </w:r>
          </w:p>
        </w:tc>
        <w:tc>
          <w:tcPr>
            <w:tcW w:w="1701" w:type="dxa"/>
            <w:tcBorders/>
          </w:tcPr>
          <w:p>
            <w:pPr>
              <w:pStyle w:val="NoSpacing"/>
              <w:widowControl/>
              <w:spacing w:before="0" w:after="0"/>
              <w:jc w:val="left"/>
              <w:rPr>
                <w:b/>
                <w:b/>
                <w:bCs/>
              </w:rPr>
            </w:pPr>
            <w:r>
              <w:rPr>
                <w:rFonts w:eastAsia="Calibri" w:cs=""/>
                <w:b/>
                <w:bCs/>
                <w:kern w:val="0"/>
                <w:sz w:val="22"/>
                <w:szCs w:val="22"/>
                <w:lang w:val="hr-HR" w:eastAsia="en-US" w:bidi="ar-SA"/>
              </w:rPr>
              <w:t>126.904,46</w:t>
            </w:r>
          </w:p>
        </w:tc>
        <w:tc>
          <w:tcPr>
            <w:tcW w:w="1562" w:type="dxa"/>
            <w:tcBorders/>
          </w:tcPr>
          <w:p>
            <w:pPr>
              <w:pStyle w:val="NoSpacing"/>
              <w:widowControl/>
              <w:spacing w:before="0" w:after="0"/>
              <w:jc w:val="left"/>
              <w:rPr>
                <w:b/>
                <w:b/>
                <w:bCs/>
              </w:rPr>
            </w:pPr>
            <w:r>
              <w:rPr>
                <w:rFonts w:eastAsia="Calibri" w:cs=""/>
                <w:b/>
                <w:bCs/>
                <w:kern w:val="0"/>
                <w:sz w:val="22"/>
                <w:szCs w:val="22"/>
                <w:lang w:val="hr-HR" w:eastAsia="en-US" w:bidi="ar-SA"/>
              </w:rPr>
            </w:r>
          </w:p>
        </w:tc>
        <w:tc>
          <w:tcPr>
            <w:tcW w:w="1412" w:type="dxa"/>
            <w:tcBorders/>
          </w:tcPr>
          <w:p>
            <w:pPr>
              <w:pStyle w:val="NoSpacing"/>
              <w:widowControl/>
              <w:spacing w:before="0" w:after="0"/>
              <w:jc w:val="left"/>
              <w:rPr>
                <w:b/>
                <w:b/>
                <w:bCs/>
              </w:rPr>
            </w:pPr>
            <w:r>
              <w:rPr>
                <w:rFonts w:eastAsia="Calibri" w:cs=""/>
                <w:b/>
                <w:bCs/>
                <w:kern w:val="0"/>
                <w:sz w:val="22"/>
                <w:szCs w:val="22"/>
                <w:lang w:val="hr-HR" w:eastAsia="en-US" w:bidi="ar-SA"/>
              </w:rPr>
              <w:t>126.904,46</w:t>
            </w:r>
          </w:p>
        </w:tc>
      </w:tr>
    </w:tbl>
    <w:p>
      <w:pPr>
        <w:pStyle w:val="NoSpacing"/>
        <w:rPr>
          <w:b/>
          <w:b/>
          <w:bCs/>
        </w:rPr>
      </w:pPr>
      <w:r>
        <w:rPr>
          <w:b/>
          <w:bCs/>
        </w:rPr>
      </w:r>
    </w:p>
    <w:p>
      <w:pPr>
        <w:pStyle w:val="NoSpacing"/>
        <w:rPr>
          <w:b/>
          <w:b/>
          <w:bCs/>
        </w:rPr>
      </w:pPr>
      <w:r>
        <w:rPr>
          <w:b/>
          <w:bCs/>
        </w:rPr>
      </w:r>
    </w:p>
    <w:p>
      <w:pPr>
        <w:pStyle w:val="Normal"/>
        <w:jc w:val="both"/>
        <w:rPr>
          <w:b/>
          <w:b/>
          <w:bCs/>
        </w:rPr>
      </w:pPr>
      <w:r>
        <w:rPr>
          <w:b/>
          <w:bCs/>
        </w:rPr>
        <w:t xml:space="preserve"> </w:t>
      </w:r>
      <w:r>
        <w:rPr>
          <w:b/>
          <w:bCs/>
        </w:rPr>
        <w:t>2. VIŠAK/MANJAK PRIHODA</w:t>
        <w:tab/>
        <w:t xml:space="preserve"> </w:t>
      </w:r>
    </w:p>
    <w:p>
      <w:pPr>
        <w:pStyle w:val="Normal"/>
        <w:jc w:val="both"/>
        <w:rPr/>
      </w:pPr>
      <w:r>
        <w:rPr>
          <w:b/>
          <w:bCs/>
        </w:rPr>
        <w:t xml:space="preserve">U </w:t>
      </w:r>
      <w:r>
        <w:rPr/>
        <w:t>razdoblju 01.01.-31.12.2022. DV Ernestinovo ostvario je višak prihoda poslovanja u iznosu od  54.664,83 kune i manjak prihoda od nefinancijske imovine 5.181,97 kune što iznosi ukupni višak prihoda 49.479,87</w:t>
      </w:r>
      <w:r>
        <w:rPr/>
        <w:t xml:space="preserve">6 </w:t>
      </w:r>
      <w:r>
        <w:rPr/>
        <w:t>kune koji će se rasporediti u sljedećoj poslovnoj godini</w:t>
      </w:r>
    </w:p>
    <w:p>
      <w:pPr>
        <w:pStyle w:val="Normal"/>
        <w:jc w:val="both"/>
        <w:rPr/>
      </w:pPr>
      <w:r>
        <w:rPr/>
        <w:t>Strukturu viška prihoda čine:</w:t>
      </w:r>
    </w:p>
    <w:p>
      <w:pPr>
        <w:pStyle w:val="NoSpacing"/>
        <w:rPr/>
      </w:pPr>
      <w:r>
        <w:rPr/>
        <w:t xml:space="preserve">-tekuće pomoći od izvanproračunskih korisnika </w:t>
        <w:tab/>
        <w:tab/>
        <w:t>1.181,94</w:t>
      </w:r>
    </w:p>
    <w:p>
      <w:pPr>
        <w:pStyle w:val="NoSpacing"/>
        <w:rPr/>
      </w:pPr>
      <w:r>
        <w:rPr/>
        <w:t>-donacija HEP</w:t>
        <w:tab/>
        <w:tab/>
        <w:tab/>
        <w:tab/>
        <w:tab/>
        <w:tab/>
        <w:t>3.849,10</w:t>
      </w:r>
    </w:p>
    <w:p>
      <w:pPr>
        <w:pStyle w:val="NoSpacing"/>
        <w:rPr/>
      </w:pPr>
      <w:r>
        <w:rPr/>
        <w:t>-tekuće pomoći  iz državnog proračuna</w:t>
        <w:tab/>
        <w:tab/>
        <w:tab/>
        <w:t>4.500,00</w:t>
      </w:r>
    </w:p>
    <w:p>
      <w:pPr>
        <w:pStyle w:val="NoSpacing"/>
        <w:rPr/>
      </w:pPr>
      <w:r>
        <w:rPr/>
        <w:t>-prihodi od sufinanciranja roditelja</w:t>
        <w:tab/>
        <w:tab/>
        <w:t xml:space="preserve">            39.455,6</w:t>
      </w:r>
      <w:r>
        <w:rPr/>
        <w:t>3</w:t>
      </w:r>
    </w:p>
    <w:p>
      <w:pPr>
        <w:pStyle w:val="NoSpacing"/>
        <w:rPr/>
      </w:pPr>
      <w:r>
        <w:rPr/>
        <w:t>-ostali prihodi</w:t>
        <w:tab/>
        <w:tab/>
        <w:tab/>
        <w:tab/>
        <w:tab/>
        <w:tab/>
        <w:t xml:space="preserve">   493,19</w:t>
      </w:r>
    </w:p>
    <w:p>
      <w:pPr>
        <w:pStyle w:val="NoSpacing"/>
        <w:rPr/>
      </w:pPr>
      <w:r>
        <w:rPr/>
      </w:r>
    </w:p>
    <w:p>
      <w:pPr>
        <w:pStyle w:val="NoSpacing"/>
        <w:rPr>
          <w:b/>
          <w:b/>
          <w:bCs/>
        </w:rPr>
      </w:pPr>
      <w:r>
        <w:rPr>
          <w:b/>
          <w:bCs/>
        </w:rPr>
        <w:t>3. IZVJEŠĆE O ZADUŽIVANJU</w:t>
      </w:r>
    </w:p>
    <w:p>
      <w:pPr>
        <w:pStyle w:val="Normal"/>
        <w:jc w:val="both"/>
        <w:rPr/>
      </w:pPr>
      <w:r>
        <w:rPr/>
      </w:r>
    </w:p>
    <w:p>
      <w:pPr>
        <w:pStyle w:val="Normal"/>
        <w:jc w:val="both"/>
        <w:rPr/>
      </w:pPr>
      <w:r>
        <w:rPr/>
        <w:t>Dječji vrtić Ogledalce nije se zaduživao tijekom 2022. godine</w:t>
      </w:r>
    </w:p>
    <w:p>
      <w:pPr>
        <w:pStyle w:val="Normal"/>
        <w:jc w:val="both"/>
        <w:rPr/>
      </w:pPr>
      <w:r>
        <w:rPr/>
      </w:r>
    </w:p>
    <w:p>
      <w:pPr>
        <w:pStyle w:val="Normal"/>
        <w:jc w:val="both"/>
        <w:rPr>
          <w:b/>
          <w:b/>
          <w:bCs/>
        </w:rPr>
      </w:pPr>
      <w:r>
        <w:rPr>
          <w:b/>
          <w:bCs/>
        </w:rPr>
        <w:t>4. IZVJEŠĆE O SUDSKIM SPOROVIMA</w:t>
      </w:r>
    </w:p>
    <w:p>
      <w:pPr>
        <w:pStyle w:val="Normal"/>
        <w:jc w:val="both"/>
        <w:rPr/>
      </w:pPr>
      <w:r>
        <w:rPr/>
        <w:t>Tijekom 2022. godine  Vrtić ne vodi sudske sporove</w:t>
      </w:r>
    </w:p>
    <w:p>
      <w:pPr>
        <w:pStyle w:val="Normal"/>
        <w:jc w:val="both"/>
        <w:rPr/>
      </w:pPr>
      <w:r>
        <w:rPr/>
      </w:r>
    </w:p>
    <w:p>
      <w:pPr>
        <w:pStyle w:val="Normal"/>
        <w:jc w:val="both"/>
        <w:rPr>
          <w:b/>
          <w:b/>
          <w:bCs/>
        </w:rPr>
      </w:pPr>
      <w:r>
        <w:rPr>
          <w:b/>
          <w:bCs/>
        </w:rPr>
        <w:t>5. OBRAZLOŽENJE IZVRŠENJA IZ POSEBNOG DIJELA</w:t>
      </w:r>
    </w:p>
    <w:p>
      <w:pPr>
        <w:pStyle w:val="Normal"/>
        <w:jc w:val="both"/>
        <w:rPr/>
      </w:pPr>
      <w:r>
        <w:rPr/>
        <w:t>Obrazloženje posebnog dijela financijskog plana sadrži ciljeve koji su ostvareni provedbom programa i pokazateljima uspješnosti realizacije tih ciljeva:</w:t>
      </w:r>
    </w:p>
    <w:p>
      <w:pPr>
        <w:pStyle w:val="Normal"/>
        <w:jc w:val="both"/>
        <w:rPr/>
      </w:pPr>
      <w:r>
        <w:rPr/>
      </w:r>
    </w:p>
    <w:p>
      <w:pPr>
        <w:pStyle w:val="Normal"/>
        <w:jc w:val="both"/>
        <w:rPr>
          <w:b/>
          <w:b/>
          <w:bCs/>
        </w:rPr>
      </w:pPr>
      <w:r>
        <w:rPr>
          <w:b/>
          <w:bCs/>
        </w:rPr>
        <w:t>PROGRAM P011025   REDOVNI PROGRAM RADA VRTIĆA</w:t>
        <w:tab/>
        <w:tab/>
        <w:tab/>
        <w:t xml:space="preserve">      1.275.834,30</w:t>
      </w:r>
    </w:p>
    <w:p>
      <w:pPr>
        <w:pStyle w:val="NoSpacing"/>
        <w:rPr/>
      </w:pPr>
      <w:bookmarkStart w:id="0" w:name="_Hlk129887873"/>
      <w:r>
        <w:rPr/>
        <w:t>Zakonska osnova:</w:t>
        <w:tab/>
        <w:tab/>
        <w:t>Zakon o predškolskom odgoju</w:t>
      </w:r>
    </w:p>
    <w:p>
      <w:pPr>
        <w:pStyle w:val="NoSpacing"/>
        <w:rPr/>
      </w:pPr>
      <w:r>
        <w:rPr/>
        <w:t>Opći cilj</w:t>
        <w:tab/>
        <w:t>:</w:t>
        <w:tab/>
        <w:tab/>
        <w:tab/>
        <w:t>Provođenje programa predškolskog odgoja</w:t>
      </w:r>
    </w:p>
    <w:p>
      <w:pPr>
        <w:pStyle w:val="NoSpacing"/>
        <w:rPr/>
      </w:pPr>
      <w:r>
        <w:rPr/>
        <w:t>Posebni ciljevi:</w:t>
        <w:tab/>
        <w:tab/>
        <w:tab/>
        <w:t>Zaustavljanje pada nataliteta</w:t>
      </w:r>
    </w:p>
    <w:p>
      <w:pPr>
        <w:pStyle w:val="NoSpacing"/>
        <w:rPr/>
      </w:pPr>
      <w:bookmarkStart w:id="1" w:name="_Hlk129887873"/>
      <w:r>
        <w:rPr/>
        <w:t>Pokazatelj uspješnosti:</w:t>
        <w:tab/>
        <w:tab/>
        <w:t>Broj polaznika vrtića</w:t>
      </w:r>
      <w:bookmarkEnd w:id="1"/>
    </w:p>
    <w:p>
      <w:pPr>
        <w:pStyle w:val="NoSpacing"/>
        <w:rPr/>
      </w:pPr>
      <w:r>
        <w:rPr/>
      </w:r>
    </w:p>
    <w:p>
      <w:pPr>
        <w:pStyle w:val="NoSpacing"/>
        <w:rPr/>
      </w:pPr>
      <w:r>
        <w:rPr/>
        <w:t>Aktivnost A100001</w:t>
        <w:tab/>
        <w:tab/>
        <w:t>Opći rashodi vezani za rad vrtića</w:t>
        <w:tab/>
        <w:t xml:space="preserve">                     1.275.834,30</w:t>
      </w:r>
    </w:p>
    <w:p>
      <w:pPr>
        <w:pStyle w:val="NoSpacing"/>
        <w:rPr/>
      </w:pPr>
      <w:r>
        <w:rPr/>
      </w:r>
    </w:p>
    <w:p>
      <w:pPr>
        <w:pStyle w:val="NoSpacing"/>
        <w:rPr/>
      </w:pPr>
      <w:r>
        <w:rPr/>
      </w:r>
    </w:p>
    <w:p>
      <w:pPr>
        <w:pStyle w:val="NoSpacing"/>
        <w:rPr>
          <w:b/>
          <w:b/>
          <w:bCs/>
        </w:rPr>
      </w:pPr>
      <w:r>
        <w:rPr>
          <w:b/>
          <w:bCs/>
        </w:rPr>
        <w:t>PROGRAM P011028</w:t>
        <w:tab/>
        <w:t>OBITELJSKI SKLAD KROZ PRODULJENI RAD-DV OGLEDALCE   382.980,70</w:t>
      </w:r>
    </w:p>
    <w:p>
      <w:pPr>
        <w:pStyle w:val="Normal"/>
        <w:jc w:val="both"/>
        <w:rPr>
          <w:b/>
          <w:b/>
          <w:bCs/>
        </w:rPr>
      </w:pPr>
      <w:r>
        <w:rPr>
          <w:b/>
          <w:bCs/>
        </w:rPr>
      </w:r>
    </w:p>
    <w:p>
      <w:pPr>
        <w:pStyle w:val="NoSpacing"/>
        <w:rPr/>
      </w:pPr>
      <w:r>
        <w:rPr/>
        <w:t>Zakonska osnova:</w:t>
        <w:tab/>
        <w:tab/>
        <w:t>Zakon o predškolskom odgoju</w:t>
      </w:r>
    </w:p>
    <w:p>
      <w:pPr>
        <w:pStyle w:val="NoSpacing"/>
        <w:rPr/>
      </w:pPr>
      <w:r>
        <w:rPr/>
        <w:t>Opći cilj:</w:t>
        <w:tab/>
        <w:tab/>
        <w:tab/>
        <w:t>Unapređenje odgojno-obrazovnog rada, kvalitetnija skrb</w:t>
      </w:r>
    </w:p>
    <w:p>
      <w:pPr>
        <w:pStyle w:val="NoSpacing"/>
        <w:rPr/>
      </w:pPr>
      <w:r>
        <w:rPr/>
        <w:tab/>
        <w:tab/>
        <w:tab/>
        <w:tab/>
        <w:t>kroz dodatne sadržaje</w:t>
      </w:r>
    </w:p>
    <w:p>
      <w:pPr>
        <w:pStyle w:val="NoSpacing"/>
        <w:rPr/>
      </w:pPr>
      <w:r>
        <w:rPr/>
        <w:t>Posebni ciljevi:</w:t>
        <w:tab/>
        <w:tab/>
        <w:tab/>
        <w:t>Bolje usklađivanje poslovnog i obiteljskog  života</w:t>
      </w:r>
    </w:p>
    <w:p>
      <w:pPr>
        <w:pStyle w:val="NoSpacing"/>
        <w:rPr/>
      </w:pPr>
      <w:r>
        <w:rPr/>
        <w:t>Pokazatelj uspješnosti:</w:t>
        <w:tab/>
        <w:tab/>
        <w:t>Stvaranje uvjeta za kvalitetno življenje u učenje djece</w:t>
      </w:r>
    </w:p>
    <w:p>
      <w:pPr>
        <w:pStyle w:val="NoSpacing"/>
        <w:rPr/>
      </w:pPr>
      <w:r>
        <w:rPr/>
      </w:r>
    </w:p>
    <w:p>
      <w:pPr>
        <w:pStyle w:val="NoSpacing"/>
        <w:rPr/>
      </w:pPr>
      <w:r>
        <w:rPr/>
        <w:t>Aktivnost A100001</w:t>
        <w:tab/>
        <w:tab/>
        <w:t xml:space="preserve">Osiguranje usluga za program ranog i predškolskog </w:t>
      </w:r>
    </w:p>
    <w:p>
      <w:pPr>
        <w:pStyle w:val="NoSpacing"/>
        <w:rPr/>
      </w:pPr>
      <w:r>
        <w:rPr/>
        <w:tab/>
        <w:tab/>
        <w:tab/>
        <w:tab/>
        <w:t>Odgoja i obrazovanja</w:t>
        <w:tab/>
        <w:tab/>
        <w:tab/>
        <w:tab/>
        <w:tab/>
        <w:t xml:space="preserve"> 349.969,69</w:t>
      </w:r>
    </w:p>
    <w:p>
      <w:pPr>
        <w:pStyle w:val="NoSpacing"/>
        <w:rPr/>
      </w:pPr>
      <w:r>
        <w:rPr/>
        <w:t>Aktivnost A100002</w:t>
        <w:tab/>
        <w:tab/>
        <w:t>Promidžba i vidljivost</w:t>
        <w:tab/>
        <w:tab/>
        <w:tab/>
        <w:tab/>
        <w:tab/>
        <w:t xml:space="preserve">    10.373,64</w:t>
      </w:r>
    </w:p>
    <w:p>
      <w:pPr>
        <w:pStyle w:val="NoSpacing"/>
        <w:rPr/>
      </w:pPr>
      <w:r>
        <w:rPr/>
        <w:t>Aktivnost A100003</w:t>
        <w:tab/>
        <w:tab/>
        <w:t>Upravljanje projektom i administracija</w:t>
        <w:tab/>
        <w:tab/>
        <w:tab/>
        <w:t xml:space="preserve">   22.637,37</w:t>
      </w:r>
    </w:p>
    <w:p>
      <w:pPr>
        <w:pStyle w:val="NoSpacing"/>
        <w:rPr/>
      </w:pPr>
      <w:r>
        <w:rPr/>
      </w:r>
    </w:p>
    <w:p>
      <w:pPr>
        <w:pStyle w:val="NoSpacing"/>
        <w:rPr/>
      </w:pPr>
      <w:r>
        <w:rPr/>
      </w:r>
    </w:p>
    <w:p>
      <w:pPr>
        <w:pStyle w:val="NoSpacing"/>
        <w:rPr>
          <w:b/>
          <w:b/>
          <w:bCs/>
        </w:rPr>
      </w:pPr>
      <w:r>
        <w:rPr>
          <w:b/>
          <w:bCs/>
        </w:rPr>
        <w:t>PROGRAM  P011030  SPORTOM DO ZDRAVLJA</w:t>
        <w:tab/>
        <w:tab/>
        <w:tab/>
        <w:tab/>
        <w:tab/>
        <w:tab/>
        <w:t>10.150,90</w:t>
      </w:r>
    </w:p>
    <w:p>
      <w:pPr>
        <w:pStyle w:val="NoSpacing"/>
        <w:rPr/>
      </w:pPr>
      <w:r>
        <w:rPr/>
      </w:r>
    </w:p>
    <w:p>
      <w:pPr>
        <w:pStyle w:val="NoSpacing"/>
        <w:rPr/>
      </w:pPr>
      <w:r>
        <w:rPr/>
        <w:t>Zakonska osnova:</w:t>
        <w:tab/>
        <w:tab/>
        <w:t>Zakon o predškolskom odgoju</w:t>
      </w:r>
    </w:p>
    <w:p>
      <w:pPr>
        <w:pStyle w:val="NoSpacing"/>
        <w:rPr/>
      </w:pPr>
      <w:r>
        <w:rPr/>
        <w:t>Opći cilj</w:t>
        <w:tab/>
        <w:t>:</w:t>
        <w:tab/>
        <w:tab/>
        <w:tab/>
        <w:t>Provođenje programa predškolskog odgoja</w:t>
      </w:r>
    </w:p>
    <w:p>
      <w:pPr>
        <w:pStyle w:val="NoSpacing"/>
        <w:rPr/>
      </w:pPr>
      <w:r>
        <w:rPr/>
        <w:t>Posebni ciljevi:</w:t>
        <w:tab/>
        <w:tab/>
        <w:tab/>
        <w:t>Naučiti djecu da se sportom  postiže kvalitetan  i zdrav život</w:t>
      </w:r>
    </w:p>
    <w:p>
      <w:pPr>
        <w:pStyle w:val="NoSpacing"/>
        <w:rPr/>
      </w:pPr>
      <w:r>
        <w:rPr/>
        <w:t>Pokazatelj uspješnosti:</w:t>
        <w:tab/>
        <w:tab/>
        <w:t>Broj  zainteresirane djece koja se bave sportom</w:t>
      </w:r>
    </w:p>
    <w:p>
      <w:pPr>
        <w:pStyle w:val="NoSpacing"/>
        <w:rPr/>
      </w:pPr>
      <w:r>
        <w:rPr/>
      </w:r>
    </w:p>
    <w:p>
      <w:pPr>
        <w:pStyle w:val="NoSpacing"/>
        <w:rPr/>
      </w:pPr>
      <w:r>
        <w:rPr/>
        <w:t>Aktivnosti: T100001</w:t>
        <w:tab/>
        <w:tab/>
        <w:t>Nabava sportske opreme</w:t>
        <w:tab/>
        <w:tab/>
        <w:tab/>
        <w:tab/>
        <w:t>10.150,90</w:t>
        <w:tab/>
        <w:tab/>
      </w:r>
    </w:p>
    <w:p>
      <w:pPr>
        <w:pStyle w:val="NoSpacing"/>
        <w:rPr/>
      </w:pPr>
      <w:r>
        <w:rPr/>
      </w:r>
    </w:p>
    <w:p>
      <w:pPr>
        <w:pStyle w:val="NoSpacing"/>
        <w:rPr/>
      </w:pPr>
      <w:r>
        <w:rPr/>
      </w:r>
    </w:p>
    <w:p>
      <w:pPr>
        <w:pStyle w:val="Normal"/>
        <w:jc w:val="both"/>
        <w:rPr/>
      </w:pPr>
      <w:r>
        <w:rPr/>
      </w:r>
    </w:p>
    <w:p>
      <w:pPr>
        <w:pStyle w:val="NoSpacing"/>
        <w:rPr/>
      </w:pPr>
      <w:r>
        <w:rPr/>
        <w:t>KLASA: 400-01/23-01/2</w:t>
      </w:r>
    </w:p>
    <w:p>
      <w:pPr>
        <w:pStyle w:val="NoSpacing"/>
        <w:rPr/>
      </w:pPr>
      <w:r>
        <w:rPr/>
        <w:t>URBROJ: 2158-109-02-23-2</w:t>
      </w:r>
    </w:p>
    <w:p>
      <w:pPr>
        <w:pStyle w:val="NoSpacing"/>
        <w:rPr/>
      </w:pPr>
      <w:r>
        <w:rPr/>
        <w:t xml:space="preserve">Ernestinovo, 24. ožujka 2023. g. </w:t>
      </w:r>
    </w:p>
    <w:p>
      <w:pPr>
        <w:pStyle w:val="Normal"/>
        <w:jc w:val="both"/>
        <w:rPr>
          <w:b/>
          <w:b/>
          <w:bCs/>
        </w:rPr>
      </w:pPr>
      <w:r>
        <w:rPr>
          <w:b/>
          <w:bCs/>
        </w:rPr>
      </w:r>
    </w:p>
    <w:p>
      <w:pPr>
        <w:pStyle w:val="Normal"/>
        <w:jc w:val="both"/>
        <w:rPr>
          <w:b/>
          <w:b/>
          <w:bCs/>
        </w:rPr>
      </w:pPr>
      <w:r>
        <w:rPr>
          <w:b/>
          <w:bCs/>
        </w:rPr>
      </w:r>
    </w:p>
    <w:p>
      <w:pPr>
        <w:pStyle w:val="Normal"/>
        <w:spacing w:before="0" w:after="160"/>
        <w:jc w:val="both"/>
        <w:rPr>
          <w:b/>
          <w:b/>
          <w:bCs/>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uiPriority w:val="1"/>
    <w:qFormat/>
    <w:rsid w:val="000a7eb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ListParagraph">
    <w:name w:val="List Paragraph"/>
    <w:basedOn w:val="Normal"/>
    <w:uiPriority w:val="34"/>
    <w:qFormat/>
    <w:rsid w:val="00772002"/>
    <w:pPr>
      <w:spacing w:before="0" w:after="160"/>
      <w:ind w:left="720" w:hanging="0"/>
      <w:contextualSpacing/>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 w:type="table" w:styleId="Reetkatablice">
    <w:name w:val="Table Grid"/>
    <w:basedOn w:val="Obinatablica"/>
    <w:uiPriority w:val="39"/>
    <w:rsid w:val="00b94c5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Application>LibreOffice/7.4.4.2$Windows_X86_64 LibreOffice_project/85569322deea74ec9134968a29af2df5663baa21</Application>
  <AppVersion>15.0000</AppVersion>
  <Pages>3</Pages>
  <Words>622</Words>
  <Characters>3970</Characters>
  <CharactersWithSpaces>4696</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2023-03-16T16:32:00Z</dcterms:created>
  <dc:creator>Zorica Šuica</dc:creator>
  <dc:description/>
  <dc:language>hr-HR</dc:language>
  <cp:lastModifiedBy/>
  <cp:lastPrinted>2023-03-29T06:45:10Z</cp:lastPrinted>
  <dcterms:modified xsi:type="dcterms:W3CDTF">2023-03-29T06:46:25Z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